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49D599" w14:textId="77777777" w:rsidR="00E14492" w:rsidRDefault="00C63C63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Bachelor of Science in Medical Laboratory Science</w:t>
      </w:r>
    </w:p>
    <w:p w14:paraId="5D9426C5" w14:textId="77777777" w:rsidR="00E14492" w:rsidRDefault="00C63C63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2020-2021 Admission Requirements</w:t>
      </w:r>
    </w:p>
    <w:p w14:paraId="17A04BC1" w14:textId="77777777" w:rsidR="00E14492" w:rsidRDefault="00E14492">
      <w:pP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B86EC13" w14:textId="77777777" w:rsidR="00E14492" w:rsidRDefault="00C63C63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Program Details: </w:t>
      </w:r>
      <w:r>
        <w:rPr>
          <w:rFonts w:ascii="Arial" w:eastAsia="Arial" w:hAnsi="Arial" w:cs="Arial"/>
          <w:color w:val="000000"/>
          <w:sz w:val="20"/>
          <w:szCs w:val="20"/>
        </w:rPr>
        <w:t>Medical Laboratory Science offers a four-year professional degree program. The curriculum is designed for students to acquire a BSc in Medical Laboratory Science (MLS) and general certification from the Canadian Society for Medical Laboratory Science (CSML</w:t>
      </w:r>
      <w:r>
        <w:rPr>
          <w:rFonts w:ascii="Arial" w:eastAsia="Arial" w:hAnsi="Arial" w:cs="Arial"/>
          <w:color w:val="000000"/>
          <w:sz w:val="20"/>
          <w:szCs w:val="20"/>
        </w:rPr>
        <w:t>S) enabling graduates to practice across Canada. Graduates of this program have an excellent reputation locally, nationally and internationally.</w:t>
      </w:r>
    </w:p>
    <w:p w14:paraId="021B8141" w14:textId="77777777" w:rsidR="00E14492" w:rsidRDefault="00E1449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43A40E6" w14:textId="77777777" w:rsidR="00E14492" w:rsidRDefault="00C63C63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This fully integrated program consists of a 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</w:rPr>
          <w:t>pre-professional year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followed by three years in the Division of Medical Laboratory Science in the Faculty of Medicine &amp; Dentistry.</w:t>
      </w:r>
    </w:p>
    <w:p w14:paraId="79D8B0CA" w14:textId="77777777" w:rsidR="00E14492" w:rsidRDefault="00E1449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9032242" w14:textId="77777777" w:rsidR="00E14492" w:rsidRDefault="00C63C63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Quota: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current quota for </w:t>
      </w:r>
      <w:r>
        <w:rPr>
          <w:rFonts w:ascii="Arial" w:eastAsia="Arial" w:hAnsi="Arial" w:cs="Arial"/>
          <w:sz w:val="20"/>
          <w:szCs w:val="20"/>
        </w:rPr>
        <w:t>Year Two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students is 29. The Division of Medical Laboratory Science will provi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admission to the BSc MLS program to all qualified Aboriginal applicants not to exceed the current quota for </w:t>
      </w:r>
      <w:r>
        <w:rPr>
          <w:rFonts w:ascii="Arial" w:eastAsia="Arial" w:hAnsi="Arial" w:cs="Arial"/>
          <w:sz w:val="20"/>
          <w:szCs w:val="20"/>
        </w:rPr>
        <w:t>Year Two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students.  </w:t>
      </w:r>
    </w:p>
    <w:p w14:paraId="5845EE9B" w14:textId="77777777" w:rsidR="00E14492" w:rsidRDefault="00E1449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DDF85BB" w14:textId="77777777" w:rsidR="00E14492" w:rsidRDefault="00C63C63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Minimum Standards: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minimum GPA of 2.7 is required in </w:t>
      </w:r>
      <w:r>
        <w:rPr>
          <w:rFonts w:ascii="Arial" w:eastAsia="Arial" w:hAnsi="Arial" w:cs="Arial"/>
          <w:sz w:val="20"/>
          <w:szCs w:val="20"/>
        </w:rPr>
        <w:t>preprofessional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coursework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The selection process is competitive and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applicants will be ranked primarily on academic achievement in the required preprofessional courses.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Preference will be given to those students who have completed the required </w:t>
      </w:r>
      <w:sdt>
        <w:sdtPr>
          <w:tag w:val="goog_rdk_0"/>
          <w:id w:val="5791038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30 in one academic year. The required courses or their transfer equivalents are available at various postsecondary institutions in Alberta. For equivalencies visit the Alberta Council on Admission and Transfer.</w:t>
      </w:r>
    </w:p>
    <w:p w14:paraId="531A0D1B" w14:textId="77777777" w:rsidR="00E14492" w:rsidRDefault="00E1449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975AB2A" w14:textId="77777777" w:rsidR="00E14492" w:rsidRDefault="00E1449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2342262" w14:textId="77777777" w:rsidR="00E14492" w:rsidRDefault="00C63C63">
      <w:pPr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EFFECTIVE March 2, 2019 for SEPTEMBER 2020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ADMISSION</w:t>
      </w:r>
    </w:p>
    <w:p w14:paraId="4517BEF3" w14:textId="77777777" w:rsidR="00E14492" w:rsidRDefault="00E14492">
      <w:pP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0556B4" w14:textId="77777777" w:rsidR="00E14492" w:rsidRDefault="00C63C63">
      <w:pPr>
        <w:spacing w:line="276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following </w:t>
      </w:r>
      <w:sdt>
        <w:sdtPr>
          <w:tag w:val="goog_rdk_1"/>
          <w:id w:val="-7222917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highlight w:val="white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30 of preprofessional course work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required. </w:t>
      </w:r>
    </w:p>
    <w:p w14:paraId="56DC1CD8" w14:textId="77777777" w:rsidR="00E14492" w:rsidRDefault="00E14492">
      <w:pPr>
        <w:spacing w:line="276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</w:p>
    <w:p w14:paraId="554B620F" w14:textId="77777777" w:rsidR="00E14492" w:rsidRDefault="00C63C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English (</w:t>
      </w:r>
      <w:sdt>
        <w:sdtPr>
          <w:tag w:val="goog_rdk_2"/>
          <w:id w:val="14988489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highlight w:val="white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6)</w:t>
      </w:r>
    </w:p>
    <w:p w14:paraId="47FDC040" w14:textId="77777777" w:rsidR="00E14492" w:rsidRDefault="00C63C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General Chemistry (</w:t>
      </w:r>
      <w:sdt>
        <w:sdtPr>
          <w:tag w:val="goog_rdk_3"/>
          <w:id w:val="157655656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highlight w:val="white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6)</w:t>
      </w:r>
    </w:p>
    <w:p w14:paraId="6CC5392E" w14:textId="77777777" w:rsidR="00E14492" w:rsidRDefault="00C63C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Organic Chemistry (</w:t>
      </w:r>
      <w:sdt>
        <w:sdtPr>
          <w:tag w:val="goog_rdk_4"/>
          <w:id w:val="155272358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highlight w:val="white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6)</w:t>
      </w:r>
    </w:p>
    <w:p w14:paraId="652F830F" w14:textId="77777777" w:rsidR="00E14492" w:rsidRDefault="00C63C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Biology (cell biology) (</w:t>
      </w:r>
      <w:sdt>
        <w:sdtPr>
          <w:tag w:val="goog_rdk_5"/>
          <w:id w:val="-114442532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highlight w:val="white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3)</w:t>
      </w:r>
    </w:p>
    <w:p w14:paraId="6AC3BF46" w14:textId="77777777" w:rsidR="00E14492" w:rsidRDefault="00C63C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Biology (molecular genetics &amp; inheritance) (</w:t>
      </w:r>
      <w:sdt>
        <w:sdtPr>
          <w:tag w:val="goog_rdk_6"/>
          <w:id w:val="134073401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highlight w:val="white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3)</w:t>
      </w:r>
    </w:p>
    <w:p w14:paraId="728DBEB0" w14:textId="77777777" w:rsidR="00E14492" w:rsidRDefault="00C63C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Biology, Genetics, Microbiology, or Zoology (</w:t>
      </w:r>
      <w:sdt>
        <w:sdtPr>
          <w:tag w:val="goog_rdk_7"/>
          <w:id w:val="-191284079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highlight w:val="white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3)</w:t>
      </w:r>
    </w:p>
    <w:p w14:paraId="42D9531C" w14:textId="77777777" w:rsidR="00E14492" w:rsidRDefault="00C63C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Statistics (</w:t>
      </w:r>
      <w:sdt>
        <w:sdtPr>
          <w:tag w:val="goog_rdk_8"/>
          <w:id w:val="11050040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highlight w:val="white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3)   </w:t>
      </w:r>
    </w:p>
    <w:p w14:paraId="265625AD" w14:textId="77777777" w:rsidR="00E14492" w:rsidRDefault="00C63C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Option from any Faculty (</w:t>
      </w:r>
      <w:sdt>
        <w:sdtPr>
          <w:tag w:val="goog_rdk_9"/>
          <w:id w:val="-11266872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highlight w:val="white"/>
            </w:rPr>
            <w:t>★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3)</w:t>
      </w:r>
    </w:p>
    <w:p w14:paraId="51F022C8" w14:textId="77777777" w:rsidR="00E14492" w:rsidRDefault="00E14492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47330B2" w14:textId="77777777" w:rsidR="00E14492" w:rsidRDefault="00E14492">
      <w:pPr>
        <w:spacing w:line="276" w:lineRule="auto"/>
        <w:ind w:left="216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521FCE91" w14:textId="77777777" w:rsidR="00E14492" w:rsidRDefault="00C63C63">
      <w:pPr>
        <w:numPr>
          <w:ilvl w:val="0"/>
          <w:numId w:val="5"/>
        </w:numPr>
        <w:spacing w:line="276" w:lineRule="auto"/>
        <w:ind w:hanging="7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Other Requirements:</w:t>
      </w:r>
    </w:p>
    <w:p w14:paraId="29446978" w14:textId="77777777" w:rsidR="00E14492" w:rsidRDefault="00C63C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English Language Requirements: Applicants must meet English requirements as specified in the</w:t>
      </w:r>
      <w:hyperlink r:id="rId9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University of Alberta Calendar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including Spoken English language proficiency.</w:t>
      </w:r>
    </w:p>
    <w:p w14:paraId="408EDD70" w14:textId="77777777" w:rsidR="00E14492" w:rsidRDefault="00C63C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Letter of Intent: Applicants must upload a letter of intent 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UAlberta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LaunchPad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br/>
        <w:t>Prospective students are encouraged to tour a clinical laboratory, speak to staff in a clinical laboratory or investigate 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career online to assist in their understanding of the program.</w:t>
      </w:r>
    </w:p>
    <w:p w14:paraId="43D1D80C" w14:textId="77777777" w:rsidR="00E14492" w:rsidRDefault="00C63C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Personal Interview: Applicants whose letter of intent is submitted by April 1 and whose application for admission is active will be invited to an interview. These applicants will be interviewe</w:t>
      </w:r>
      <w:r>
        <w:rPr>
          <w:rFonts w:ascii="Arial" w:eastAsia="Arial" w:hAnsi="Arial" w:cs="Arial"/>
          <w:color w:val="000000"/>
          <w:sz w:val="20"/>
          <w:szCs w:val="20"/>
        </w:rPr>
        <w:t>d to determine if they have the qualities necessary for the profession. Communication, teamwork, reflection, conflict resolution, empathy, responsibility, initiative, problem-solving ability, prioritization, organization and other such qualities will be ev</w:t>
      </w:r>
      <w:r>
        <w:rPr>
          <w:rFonts w:ascii="Arial" w:eastAsia="Arial" w:hAnsi="Arial" w:cs="Arial"/>
          <w:color w:val="000000"/>
          <w:sz w:val="20"/>
          <w:szCs w:val="20"/>
        </w:rPr>
        <w:t>aluated. Short-listed applicants will be advised of the mandatory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interview date.</w:t>
      </w:r>
    </w:p>
    <w:p w14:paraId="645A0D56" w14:textId="77777777" w:rsidR="00E14492" w:rsidRDefault="00C63C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Police Information Checks: Applicants should be aware that a clear Police Information Check is required at the time of admission and that any criminal charges pending must be</w:t>
      </w:r>
      <w:r>
        <w:rPr>
          <w:rFonts w:ascii="Arial" w:eastAsia="Arial" w:hAnsi="Arial" w:cs="Arial"/>
          <w:sz w:val="20"/>
          <w:szCs w:val="20"/>
        </w:rPr>
        <w:t xml:space="preserve"> declared. </w:t>
      </w:r>
    </w:p>
    <w:p w14:paraId="6DBE994C" w14:textId="77777777" w:rsidR="00E14492" w:rsidRDefault="00C63C63">
      <w:pPr>
        <w:numPr>
          <w:ilvl w:val="0"/>
          <w:numId w:val="5"/>
        </w:numPr>
        <w:spacing w:line="276" w:lineRule="auto"/>
        <w:ind w:hanging="7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Selection Process:</w:t>
      </w:r>
      <w:bookmarkStart w:id="0" w:name="bookmark=id.gjdgxs" w:colFirst="0" w:colLast="0"/>
      <w:bookmarkEnd w:id="0"/>
    </w:p>
    <w:p w14:paraId="440BD885" w14:textId="77777777" w:rsidR="00E14492" w:rsidRDefault="00C63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preprofessional GPA is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complied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from grades on the required courses or their equivalents. The cumulative GPA is also considered </w:t>
      </w:r>
    </w:p>
    <w:p w14:paraId="157E2CFA" w14:textId="77777777" w:rsidR="00E14492" w:rsidRDefault="00C63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deriving these GPAs, the best eligible marks are used. For example, if candidates take a more advanced version of a requ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ired course and obtain a better mark, that mark will be used to calculate the GPA. Similarly, for the 3-credit options, the course receiving the best grade will be chosen. </w:t>
      </w:r>
    </w:p>
    <w:p w14:paraId="24903150" w14:textId="77777777" w:rsidR="00E14492" w:rsidRDefault="00C63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Because MLS is a quota program that has more applicants than available positions,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dmission is competitive. An admissions committee meets to consider applicants anonymously. The requirements considered include: </w:t>
      </w:r>
    </w:p>
    <w:p w14:paraId="4AC09045" w14:textId="77777777" w:rsidR="00E14492" w:rsidRDefault="00C63C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Preprofessional GPA</w:t>
      </w:r>
    </w:p>
    <w:p w14:paraId="586B8879" w14:textId="77777777" w:rsidR="00E14492" w:rsidRDefault="00C63C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Cumulative GPA</w:t>
      </w:r>
    </w:p>
    <w:p w14:paraId="305F68E4" w14:textId="77777777" w:rsidR="00E14492" w:rsidRDefault="00C63C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Letter of Intent</w:t>
      </w:r>
    </w:p>
    <w:p w14:paraId="5747D1FC" w14:textId="77777777" w:rsidR="00E14492" w:rsidRDefault="00C63C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Personal Interview </w:t>
      </w:r>
    </w:p>
    <w:p w14:paraId="794FA49C" w14:textId="77777777" w:rsidR="00E14492" w:rsidRDefault="00E1449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F6ADC5E" w14:textId="77777777" w:rsidR="00E14492" w:rsidRDefault="00E14492">
      <w:pP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951156" w14:textId="77777777" w:rsidR="00E14492" w:rsidRDefault="00C63C63">
      <w:pP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Recommended Alberta High School Courses (or equivalen</w:t>
      </w:r>
      <w:r>
        <w:rPr>
          <w:rFonts w:ascii="Arial" w:eastAsia="Arial" w:hAnsi="Arial" w:cs="Arial"/>
          <w:b/>
          <w:color w:val="000000"/>
          <w:sz w:val="20"/>
          <w:szCs w:val="20"/>
        </w:rPr>
        <w:t>t):</w:t>
      </w:r>
    </w:p>
    <w:p w14:paraId="0EC6EE95" w14:textId="77777777" w:rsidR="00E14492" w:rsidRDefault="00C63C63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English Language Arts 30-1</w:t>
      </w:r>
    </w:p>
    <w:p w14:paraId="00BB718C" w14:textId="77777777" w:rsidR="00E14492" w:rsidRDefault="00C63C63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Biology 30</w:t>
      </w:r>
    </w:p>
    <w:p w14:paraId="31FFA9CE" w14:textId="77777777" w:rsidR="00E14492" w:rsidRDefault="00C63C63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Chemistry 30 </w:t>
      </w:r>
    </w:p>
    <w:p w14:paraId="3822022E" w14:textId="77777777" w:rsidR="00E14492" w:rsidRDefault="00C63C63">
      <w:pPr>
        <w:numPr>
          <w:ilvl w:val="0"/>
          <w:numId w:val="4"/>
        </w:numPr>
        <w:spacing w:line="276" w:lineRule="auto"/>
        <w:ind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Math 30-1 </w:t>
      </w:r>
    </w:p>
    <w:p w14:paraId="0BBA627D" w14:textId="77777777" w:rsidR="00E14492" w:rsidRDefault="00E14492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8610106" w14:textId="77777777" w:rsidR="00E14492" w:rsidRDefault="00C63C63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Deadlines:</w:t>
      </w:r>
    </w:p>
    <w:p w14:paraId="0C70EBB8" w14:textId="77777777" w:rsidR="00E14492" w:rsidRDefault="00C63C63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Deadline to Submit Initial Application: March 1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30FAF95" w14:textId="77777777" w:rsidR="00E14492" w:rsidRDefault="00C63C63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Letter of Intent: April 1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BCFDABE" w14:textId="77777777" w:rsidR="00E14492" w:rsidRDefault="00C63C63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 Deadlines: June 15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0078F48" w14:textId="77777777" w:rsidR="00E14492" w:rsidRDefault="00E14492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D107221" w14:textId="77777777" w:rsidR="00E14492" w:rsidRDefault="00C63C63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For information about the degree completion program please see the Calendar. </w:t>
      </w:r>
    </w:p>
    <w:sectPr w:rsidR="00E144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DBA1B" w14:textId="77777777" w:rsidR="00C63C63" w:rsidRDefault="00C63C63">
      <w:r>
        <w:separator/>
      </w:r>
    </w:p>
  </w:endnote>
  <w:endnote w:type="continuationSeparator" w:id="0">
    <w:p w14:paraId="31C338AC" w14:textId="77777777" w:rsidR="00C63C63" w:rsidRDefault="00C6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DA1B" w14:textId="77777777" w:rsidR="007973CC" w:rsidRDefault="00797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A03A" w14:textId="77777777" w:rsidR="007973CC" w:rsidRDefault="00797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9934" w14:textId="77777777" w:rsidR="007973CC" w:rsidRDefault="00797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BD34" w14:textId="77777777" w:rsidR="00C63C63" w:rsidRDefault="00C63C63">
      <w:r>
        <w:separator/>
      </w:r>
    </w:p>
  </w:footnote>
  <w:footnote w:type="continuationSeparator" w:id="0">
    <w:p w14:paraId="41AB2CFD" w14:textId="77777777" w:rsidR="00C63C63" w:rsidRDefault="00C6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E72C" w14:textId="77777777" w:rsidR="007973CC" w:rsidRDefault="00797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498F" w14:textId="77777777" w:rsidR="00E14492" w:rsidRDefault="00C63C63">
    <w:pPr>
      <w:tabs>
        <w:tab w:val="center" w:pos="4320"/>
        <w:tab w:val="right" w:pos="86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E44048" wp14:editId="39830A96">
              <wp:simplePos x="0" y="0"/>
              <wp:positionH relativeFrom="margin">
                <wp:posOffset>152400</wp:posOffset>
              </wp:positionH>
              <wp:positionV relativeFrom="page">
                <wp:posOffset>1151890</wp:posOffset>
              </wp:positionV>
              <wp:extent cx="6400800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152400</wp:posOffset>
              </wp:positionH>
              <wp:positionV relativeFrom="page">
                <wp:posOffset>1151890</wp:posOffset>
              </wp:positionV>
              <wp:extent cx="6400800" cy="127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339DCDA" wp14:editId="0DDA9886">
          <wp:simplePos x="0" y="0"/>
          <wp:positionH relativeFrom="page">
            <wp:posOffset>838200</wp:posOffset>
          </wp:positionH>
          <wp:positionV relativeFrom="page">
            <wp:posOffset>660400</wp:posOffset>
          </wp:positionV>
          <wp:extent cx="2476500" cy="342900"/>
          <wp:effectExtent l="0" t="0" r="0" b="0"/>
          <wp:wrapNone/>
          <wp:docPr id="8" name="image1.png" descr="UA-1C-SOLID-LH-L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A-1C-SOLID-LH-LG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61A13F0" wp14:editId="017BAE11">
              <wp:simplePos x="0" y="0"/>
              <wp:positionH relativeFrom="page">
                <wp:posOffset>3570288</wp:posOffset>
              </wp:positionH>
              <wp:positionV relativeFrom="page">
                <wp:posOffset>755333</wp:posOffset>
              </wp:positionV>
              <wp:extent cx="3750310" cy="427990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5608" y="3570768"/>
                        <a:ext cx="374078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32AC8" w14:textId="77777777" w:rsidR="00E14492" w:rsidRDefault="00C63C6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TIP SHEET 2020-2021</w:t>
                          </w:r>
                        </w:p>
                        <w:p w14:paraId="473D2C06" w14:textId="77777777" w:rsidR="00E14492" w:rsidRDefault="00E14492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3570288</wp:posOffset>
              </wp:positionH>
              <wp:positionV relativeFrom="page">
                <wp:posOffset>755333</wp:posOffset>
              </wp:positionV>
              <wp:extent cx="3750310" cy="427990"/>
              <wp:effectExtent b="0" l="0" r="0" t="0"/>
              <wp:wrapSquare wrapText="bothSides" distB="0" distT="0" distL="114300" distR="11430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0310" cy="427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A2FBD47" w14:textId="77777777" w:rsidR="00E14492" w:rsidRDefault="00E14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C814" w14:textId="77777777" w:rsidR="007973CC" w:rsidRDefault="00797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167F"/>
    <w:multiLevelType w:val="multilevel"/>
    <w:tmpl w:val="62C22B0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3B39FA"/>
    <w:multiLevelType w:val="multilevel"/>
    <w:tmpl w:val="CD2A7908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decimal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30E043C7"/>
    <w:multiLevelType w:val="multilevel"/>
    <w:tmpl w:val="D70EEF5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791523"/>
    <w:multiLevelType w:val="multilevel"/>
    <w:tmpl w:val="30B8498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DC50B95"/>
    <w:multiLevelType w:val="multilevel"/>
    <w:tmpl w:val="0202622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D9557C"/>
    <w:multiLevelType w:val="multilevel"/>
    <w:tmpl w:val="725CCD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92"/>
    <w:rsid w:val="007973CC"/>
    <w:rsid w:val="00C63C63"/>
    <w:rsid w:val="00E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59D73"/>
  <w15:docId w15:val="{96BABB21-2861-2841-A14A-14E1959F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3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CDF"/>
  </w:style>
  <w:style w:type="paragraph" w:styleId="Footer">
    <w:name w:val="footer"/>
    <w:basedOn w:val="Normal"/>
    <w:link w:val="FooterChar"/>
    <w:uiPriority w:val="99"/>
    <w:unhideWhenUsed/>
    <w:rsid w:val="00E23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CDF"/>
  </w:style>
  <w:style w:type="paragraph" w:styleId="ListParagraph">
    <w:name w:val="List Paragraph"/>
    <w:basedOn w:val="Normal"/>
    <w:uiPriority w:val="34"/>
    <w:qFormat/>
    <w:rsid w:val="00F167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4615"/>
  </w:style>
  <w:style w:type="character" w:customStyle="1" w:styleId="credit-star">
    <w:name w:val="credit-star"/>
    <w:basedOn w:val="DefaultParagraphFont"/>
    <w:rsid w:val="00B04615"/>
  </w:style>
  <w:style w:type="character" w:styleId="Hyperlink">
    <w:name w:val="Hyperlink"/>
    <w:basedOn w:val="DefaultParagraphFont"/>
    <w:uiPriority w:val="99"/>
    <w:unhideWhenUsed/>
    <w:rsid w:val="009C02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32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alberta.ca/programs/mls/bscmls/preprofession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ar.ualberta.ca/calend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YqI62LFa0XX+48NrSjaEGKCcA==">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ewilkins</dc:creator>
  <cp:lastModifiedBy>Kristy DeSmit</cp:lastModifiedBy>
  <cp:revision>2</cp:revision>
  <dcterms:created xsi:type="dcterms:W3CDTF">2021-02-05T18:24:00Z</dcterms:created>
  <dcterms:modified xsi:type="dcterms:W3CDTF">2021-02-05T18:24:00Z</dcterms:modified>
</cp:coreProperties>
</file>