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95F33D" w14:textId="77777777" w:rsidR="009478C2" w:rsidRDefault="0002220A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Doctor of Dental Surgery</w:t>
      </w:r>
    </w:p>
    <w:p w14:paraId="36A15A21" w14:textId="77777777" w:rsidR="009478C2" w:rsidRDefault="0002220A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1-2022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Admission Requirements</w:t>
      </w:r>
    </w:p>
    <w:p w14:paraId="670B7E46" w14:textId="77777777" w:rsidR="009478C2" w:rsidRDefault="009478C2">
      <w:pP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EF83EE9" w14:textId="77777777" w:rsidR="009478C2" w:rsidRDefault="0002220A">
      <w:pPr>
        <w:spacing w:after="18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Program Details: </w:t>
      </w:r>
      <w:r>
        <w:rPr>
          <w:rFonts w:ascii="Arial" w:eastAsia="Arial" w:hAnsi="Arial" w:cs="Arial"/>
          <w:color w:val="000000"/>
          <w:sz w:val="20"/>
          <w:szCs w:val="20"/>
        </w:rPr>
        <w:t>The Doctor of Dental Surgery (DDS) is an accredited four-year degree program. At least two pre-dental years at university are required before admission to this program. The program is comprised of an integrated curriculum, studying anatomical, physiologic,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health systems including lectures, laboratories, seminars and clinical practice.</w:t>
      </w:r>
    </w:p>
    <w:p w14:paraId="549257AC" w14:textId="77777777" w:rsidR="009478C2" w:rsidRDefault="0002220A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Quota: </w:t>
      </w:r>
      <w:r>
        <w:rPr>
          <w:rFonts w:ascii="Arial" w:eastAsia="Arial" w:hAnsi="Arial" w:cs="Arial"/>
          <w:sz w:val="20"/>
          <w:szCs w:val="20"/>
        </w:rPr>
        <w:t>Enrolment is limited to an annual quota of 30 students. Of the 30 positions available, 27 are reserved for Alberta residents, and up to 3 are available for non-Alb</w:t>
      </w:r>
      <w:r>
        <w:rPr>
          <w:rFonts w:ascii="Arial" w:eastAsia="Arial" w:hAnsi="Arial" w:cs="Arial"/>
          <w:sz w:val="20"/>
          <w:szCs w:val="20"/>
        </w:rPr>
        <w:t>erta residents. No non-resident shall be admitted to the DDS Program who is less qualified than any Alberta resident who is denied admission to that Program.</w:t>
      </w:r>
      <w: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Besides the regular quota positions, an additional position per year is available in the DDS progr</w:t>
      </w:r>
      <w:r>
        <w:rPr>
          <w:rFonts w:ascii="Arial" w:eastAsia="Arial" w:hAnsi="Arial" w:cs="Arial"/>
          <w:color w:val="000000"/>
          <w:sz w:val="20"/>
          <w:szCs w:val="20"/>
        </w:rPr>
        <w:t>am for a qualified student of Aboriginal identity.</w:t>
      </w:r>
    </w:p>
    <w:p w14:paraId="0D3A31F6" w14:textId="77777777" w:rsidR="009478C2" w:rsidRDefault="009478C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C9B60FE" w14:textId="77777777" w:rsidR="009478C2" w:rsidRDefault="0002220A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Minimum Standards: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order to be competitive, applicants </w:t>
      </w:r>
      <w:r>
        <w:rPr>
          <w:rFonts w:ascii="Arial" w:eastAsia="Arial" w:hAnsi="Arial" w:cs="Arial"/>
          <w:sz w:val="20"/>
          <w:szCs w:val="20"/>
        </w:rPr>
        <w:t>must present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minimum OGPA of 3.5 in their university studies. Students with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OGPA of less than 3.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will not be considered for admission. For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pplicants who have completed four or more years of full-time transferable postsecondary work, the cumulative GPA is calculated with the deletion of the lowest Fall/Winter GPA, provided it is not the most recent Fall/Winter or </w:t>
      </w:r>
      <w:r>
        <w:rPr>
          <w:rFonts w:ascii="Arial" w:eastAsia="Arial" w:hAnsi="Arial" w:cs="Arial"/>
          <w:sz w:val="20"/>
          <w:szCs w:val="20"/>
        </w:rPr>
        <w:t xml:space="preserve">either </w:t>
      </w:r>
      <w:r>
        <w:rPr>
          <w:rFonts w:ascii="Arial" w:eastAsia="Arial" w:hAnsi="Arial" w:cs="Arial"/>
          <w:color w:val="000000"/>
          <w:sz w:val="20"/>
          <w:szCs w:val="20"/>
        </w:rPr>
        <w:t>of the two required yea</w:t>
      </w:r>
      <w:r>
        <w:rPr>
          <w:rFonts w:ascii="Arial" w:eastAsia="Arial" w:hAnsi="Arial" w:cs="Arial"/>
          <w:sz w:val="20"/>
          <w:szCs w:val="20"/>
        </w:rPr>
        <w:t>rs where *30 was taken during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Fall/Winter. To meet minimum Dental Aptitude Test (DAT) requirements, a score of 15 or more must be achieved in each of: Reading Comprehension, Perceptual Ability, and </w:t>
      </w:r>
      <w:r>
        <w:rPr>
          <w:rFonts w:ascii="Arial" w:eastAsia="Arial" w:hAnsi="Arial" w:cs="Arial"/>
          <w:sz w:val="20"/>
          <w:szCs w:val="20"/>
        </w:rPr>
        <w:t>Natural Sciences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FE4B3B6" w14:textId="77777777" w:rsidR="009478C2" w:rsidRDefault="009478C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3CF12E0" w14:textId="77777777" w:rsidR="009478C2" w:rsidRDefault="0002220A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note: meeting the minimum stand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ards does not guarantee admission. </w:t>
      </w:r>
    </w:p>
    <w:p w14:paraId="7A13F955" w14:textId="77777777" w:rsidR="009478C2" w:rsidRDefault="009478C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B512989" w14:textId="77777777" w:rsidR="009478C2" w:rsidRDefault="0002220A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Admission Requirements:  </w:t>
      </w:r>
    </w:p>
    <w:p w14:paraId="23B3701F" w14:textId="77777777" w:rsidR="009478C2" w:rsidRDefault="0002220A">
      <w:pPr>
        <w:numPr>
          <w:ilvl w:val="0"/>
          <w:numId w:val="3"/>
        </w:numPr>
        <w:spacing w:line="276" w:lineRule="auto"/>
        <w:ind w:hanging="7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Prerequisite Courses:</w:t>
      </w:r>
    </w:p>
    <w:p w14:paraId="35E118C6" w14:textId="77777777" w:rsidR="009478C2" w:rsidRDefault="0002220A">
      <w:pPr>
        <w:spacing w:after="240" w:line="276" w:lineRule="auto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minimum requirement for admission to the DDS Program is the satisfactory completion of *60 of transferable postsecondary work (10 full-year course equivalents or 20 ha</w:t>
      </w:r>
      <w:r>
        <w:rPr>
          <w:rFonts w:ascii="Arial" w:eastAsia="Arial" w:hAnsi="Arial" w:cs="Arial"/>
          <w:sz w:val="20"/>
          <w:szCs w:val="20"/>
        </w:rPr>
        <w:t>lf-year course equivalents). The minimum course-load requirement is 2 academic years of Fall/Winter semesters with a course-load of *30 in each year. A Fall/Winter academic year is September to April inclusive.</w:t>
      </w:r>
    </w:p>
    <w:p w14:paraId="178030A9" w14:textId="77777777" w:rsidR="009478C2" w:rsidRDefault="0002220A">
      <w:pPr>
        <w:spacing w:before="240" w:after="240" w:line="276" w:lineRule="auto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pre-professional course requirements are:</w:t>
      </w:r>
    </w:p>
    <w:p w14:paraId="2BD776DF" w14:textId="77777777" w:rsidR="009478C2" w:rsidRDefault="0002220A">
      <w:pPr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General Chemistry (*3)</w:t>
      </w:r>
    </w:p>
    <w:p w14:paraId="03F81AB0" w14:textId="77777777" w:rsidR="009478C2" w:rsidRDefault="0002220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Organic Chemistry (*3)</w:t>
      </w:r>
    </w:p>
    <w:p w14:paraId="602484F6" w14:textId="77777777" w:rsidR="009478C2" w:rsidRDefault="0002220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Biology (*3) (Biology 107 or equivalent required)</w:t>
      </w:r>
    </w:p>
    <w:p w14:paraId="740DC5F4" w14:textId="77777777" w:rsidR="009478C2" w:rsidRDefault="0002220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Microbiology (*3)</w:t>
      </w:r>
    </w:p>
    <w:p w14:paraId="4F7013C1" w14:textId="77777777" w:rsidR="009478C2" w:rsidRDefault="0002220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English (*6)</w:t>
      </w:r>
    </w:p>
    <w:p w14:paraId="19B2C588" w14:textId="77777777" w:rsidR="009478C2" w:rsidRDefault="0002220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Statistics (*3)</w:t>
      </w:r>
    </w:p>
    <w:p w14:paraId="7A50B3E4" w14:textId="77777777" w:rsidR="009478C2" w:rsidRDefault="0002220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Introductory Biochemistry (*3)</w:t>
      </w:r>
    </w:p>
    <w:p w14:paraId="05122898" w14:textId="77777777" w:rsidR="009478C2" w:rsidRDefault="0002220A">
      <w:pPr>
        <w:numPr>
          <w:ilvl w:val="0"/>
          <w:numId w:val="2"/>
        </w:numPr>
        <w:spacing w:after="240"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Human Physiology (*6) (Physiology 210 or equivalent required)</w:t>
      </w:r>
    </w:p>
    <w:p w14:paraId="24ABFEF3" w14:textId="77777777" w:rsidR="009478C2" w:rsidRDefault="00947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5607ECD" w14:textId="77777777" w:rsidR="009478C2" w:rsidRDefault="0002220A">
      <w:pPr>
        <w:numPr>
          <w:ilvl w:val="0"/>
          <w:numId w:val="3"/>
        </w:numPr>
        <w:spacing w:line="276" w:lineRule="auto"/>
        <w:ind w:hanging="7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Other Requirements:</w:t>
      </w:r>
    </w:p>
    <w:p w14:paraId="11ED661A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Dental Aptitude Test: Must be written by the November exam date of the year prior to the year admission is sought. The DAT must have been written within the last 5 years. </w:t>
      </w:r>
    </w:p>
    <w:p w14:paraId="5B72AF03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ituation Judgment Test (SJT)</w:t>
      </w:r>
    </w:p>
    <w:p w14:paraId="59B0EF70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Experiences</w:t>
      </w:r>
    </w:p>
    <w:p w14:paraId="73DE845C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Personal Interview:  Interview selection is based on interim transcripts, postsecondary academic record and DAT scores.</w:t>
      </w:r>
    </w:p>
    <w:p w14:paraId="3A88B41C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Statement</w:t>
      </w:r>
    </w:p>
    <w:p w14:paraId="29726539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English Language Requirements: Applicants must meet English require</w:t>
      </w:r>
      <w:r>
        <w:rPr>
          <w:rFonts w:ascii="Arial" w:eastAsia="Arial" w:hAnsi="Arial" w:cs="Arial"/>
          <w:color w:val="000000"/>
          <w:sz w:val="20"/>
          <w:szCs w:val="20"/>
        </w:rPr>
        <w:t>ments as specified in the</w:t>
      </w:r>
      <w:hyperlink r:id="rId7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University of Alberta Calendar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including Spoken English language proficiency.</w:t>
      </w:r>
    </w:p>
    <w:p w14:paraId="24A20763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Police Information Check (PIC)</w:t>
      </w:r>
    </w:p>
    <w:p w14:paraId="770225F9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Medical Testing and Immunization</w:t>
      </w:r>
    </w:p>
    <w:p w14:paraId="2877A676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CPR certification</w:t>
      </w:r>
    </w:p>
    <w:p w14:paraId="1139D104" w14:textId="77777777" w:rsidR="009478C2" w:rsidRDefault="0002220A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Proof of </w:t>
      </w:r>
      <w:r>
        <w:rPr>
          <w:rFonts w:ascii="Arial" w:eastAsia="Arial" w:hAnsi="Arial" w:cs="Arial"/>
          <w:color w:val="000000"/>
          <w:sz w:val="20"/>
          <w:szCs w:val="20"/>
        </w:rPr>
        <w:t>Residency Status may be required</w:t>
      </w:r>
    </w:p>
    <w:p w14:paraId="72143940" w14:textId="77777777" w:rsidR="009478C2" w:rsidRDefault="009478C2">
      <w:pPr>
        <w:spacing w:line="276" w:lineRule="auto"/>
        <w:ind w:left="21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CE5524D" w14:textId="77777777" w:rsidR="009478C2" w:rsidRDefault="0002220A">
      <w:pPr>
        <w:numPr>
          <w:ilvl w:val="0"/>
          <w:numId w:val="3"/>
        </w:numPr>
        <w:spacing w:line="276" w:lineRule="auto"/>
        <w:ind w:hanging="7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Selection Process:</w:t>
      </w:r>
    </w:p>
    <w:p w14:paraId="549305CD" w14:textId="77777777" w:rsidR="009478C2" w:rsidRDefault="009478C2">
      <w:pPr>
        <w:spacing w:line="276" w:lineRule="auto"/>
        <w:ind w:left="2160"/>
        <w:rPr>
          <w:rFonts w:ascii="Arial" w:eastAsia="Arial" w:hAnsi="Arial" w:cs="Arial"/>
          <w:color w:val="000000"/>
          <w:sz w:val="20"/>
          <w:szCs w:val="20"/>
        </w:rPr>
      </w:pPr>
    </w:p>
    <w:p w14:paraId="27525B4C" w14:textId="77777777" w:rsidR="009478C2" w:rsidRDefault="0002220A">
      <w:pPr>
        <w:spacing w:after="240" w:line="276" w:lineRule="auto"/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Selection factors will include, but are not limited to:</w:t>
      </w:r>
    </w:p>
    <w:p w14:paraId="1D853393" w14:textId="77777777" w:rsidR="009478C2" w:rsidRDefault="0002220A">
      <w:pPr>
        <w:numPr>
          <w:ilvl w:val="0"/>
          <w:numId w:val="6"/>
        </w:numPr>
        <w:spacing w:before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Overall GPA</w:t>
      </w:r>
      <w:r>
        <w:rPr>
          <w:rFonts w:ascii="Arial" w:eastAsia="Arial" w:hAnsi="Arial" w:cs="Arial"/>
          <w:sz w:val="20"/>
          <w:szCs w:val="20"/>
        </w:rPr>
        <w:t xml:space="preserve"> is comprised of all transferable postsecondary work completed as a full-time student taken during Fall/Winter or Spring/Summer Terms. For overall GPA calculation full-time study is equivalent to a minimum of *18 taken during Fall/Winter Terms or *12 taken</w:t>
      </w:r>
      <w:r>
        <w:rPr>
          <w:rFonts w:ascii="Arial" w:eastAsia="Arial" w:hAnsi="Arial" w:cs="Arial"/>
          <w:sz w:val="20"/>
          <w:szCs w:val="20"/>
        </w:rPr>
        <w:t xml:space="preserve"> during Spring/Summer Terms;</w:t>
      </w:r>
    </w:p>
    <w:p w14:paraId="1A185463" w14:textId="77777777" w:rsidR="009478C2" w:rsidRDefault="0002220A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Dental Aptitude Test (DAT)</w:t>
      </w:r>
      <w:r>
        <w:rPr>
          <w:rFonts w:ascii="Arial" w:eastAsia="Arial" w:hAnsi="Arial" w:cs="Arial"/>
          <w:sz w:val="20"/>
          <w:szCs w:val="20"/>
        </w:rPr>
        <w:t xml:space="preserve"> scores - Survey of Natural Sciences (SNS), Perceptual Ability Test (PAT), and Reading Comprehension Test (RCT);</w:t>
      </w:r>
    </w:p>
    <w:p w14:paraId="326A2678" w14:textId="77777777" w:rsidR="009478C2" w:rsidRDefault="0002220A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SJT results</w:t>
      </w:r>
      <w:r>
        <w:rPr>
          <w:rFonts w:ascii="Arial" w:eastAsia="Arial" w:hAnsi="Arial" w:cs="Arial"/>
          <w:sz w:val="20"/>
          <w:szCs w:val="20"/>
        </w:rPr>
        <w:t>;</w:t>
      </w:r>
    </w:p>
    <w:p w14:paraId="2D528E87" w14:textId="77777777" w:rsidR="009478C2" w:rsidRDefault="0002220A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Personal Experiences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z w:val="20"/>
          <w:szCs w:val="20"/>
        </w:rPr>
        <w:br/>
        <w:t>Personal Experiences are comprised of five subsection</w:t>
      </w:r>
      <w:r>
        <w:rPr>
          <w:rFonts w:ascii="Arial" w:eastAsia="Arial" w:hAnsi="Arial" w:cs="Arial"/>
          <w:sz w:val="20"/>
          <w:szCs w:val="20"/>
        </w:rPr>
        <w:t>s:</w:t>
      </w:r>
    </w:p>
    <w:p w14:paraId="5332AF14" w14:textId="77777777" w:rsidR="009478C2" w:rsidRDefault="0002220A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Employment</w:t>
      </w:r>
    </w:p>
    <w:p w14:paraId="5A736A88" w14:textId="77777777" w:rsidR="009478C2" w:rsidRDefault="0002220A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Leadership Roles</w:t>
      </w:r>
    </w:p>
    <w:p w14:paraId="18CABC33" w14:textId="77777777" w:rsidR="009478C2" w:rsidRDefault="0002220A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Volunteer Work</w:t>
      </w:r>
    </w:p>
    <w:p w14:paraId="34A2AD5F" w14:textId="77777777" w:rsidR="009478C2" w:rsidRDefault="0002220A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Life Experience &amp; Achievements</w:t>
      </w:r>
    </w:p>
    <w:p w14:paraId="5FE1DBDE" w14:textId="77777777" w:rsidR="009478C2" w:rsidRDefault="0002220A">
      <w:pPr>
        <w:numPr>
          <w:ilvl w:val="0"/>
          <w:numId w:val="5"/>
        </w:numPr>
        <w:spacing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Highlights</w:t>
      </w:r>
    </w:p>
    <w:p w14:paraId="76BCC2FD" w14:textId="77777777" w:rsidR="009478C2" w:rsidRDefault="0002220A">
      <w:pPr>
        <w:spacing w:before="240" w:after="240" w:line="276" w:lineRule="auto"/>
        <w:ind w:left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gives applicants the opportunity to highlight life experiences that they feel will demonstrate their suitability for the program.</w:t>
      </w:r>
    </w:p>
    <w:p w14:paraId="429160F7" w14:textId="77777777" w:rsidR="009478C2" w:rsidRDefault="0002220A">
      <w:pPr>
        <w:numPr>
          <w:ilvl w:val="0"/>
          <w:numId w:val="6"/>
        </w:numPr>
        <w:spacing w:before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Interview score</w:t>
      </w:r>
      <w:r>
        <w:rPr>
          <w:rFonts w:ascii="Arial" w:eastAsia="Arial" w:hAnsi="Arial" w:cs="Arial"/>
          <w:sz w:val="20"/>
          <w:szCs w:val="20"/>
        </w:rPr>
        <w:t>;</w:t>
      </w:r>
      <w:bookmarkStart w:id="1" w:name="30j0zll" w:colFirst="0" w:colLast="0"/>
      <w:bookmarkEnd w:id="1"/>
      <w:r>
        <w:rPr>
          <w:rFonts w:ascii="Arial" w:eastAsia="Arial" w:hAnsi="Arial" w:cs="Arial"/>
          <w:sz w:val="20"/>
          <w:szCs w:val="20"/>
        </w:rPr>
        <w:br/>
        <w:t>A perso</w:t>
      </w:r>
      <w:r>
        <w:rPr>
          <w:rFonts w:ascii="Arial" w:eastAsia="Arial" w:hAnsi="Arial" w:cs="Arial"/>
          <w:sz w:val="20"/>
          <w:szCs w:val="20"/>
        </w:rPr>
        <w:t>nal interview is required of all competitive applicants annually.  Interview selection is based on interim transcripts, post-secondary academic record, DAT scores, SJT results. Applicants who fail to submit the required documents by February 1 cannot be ev</w:t>
      </w:r>
      <w:r>
        <w:rPr>
          <w:rFonts w:ascii="Arial" w:eastAsia="Arial" w:hAnsi="Arial" w:cs="Arial"/>
          <w:sz w:val="20"/>
          <w:szCs w:val="20"/>
        </w:rPr>
        <w:t xml:space="preserve">aluated for interview selection. Competitive applicants will be interviewed to determine if they have the personal qualities necessary for the profession. The interview </w:t>
      </w:r>
      <w:r>
        <w:rPr>
          <w:rFonts w:ascii="Arial" w:eastAsia="Arial" w:hAnsi="Arial" w:cs="Arial"/>
          <w:sz w:val="20"/>
          <w:szCs w:val="20"/>
        </w:rPr>
        <w:lastRenderedPageBreak/>
        <w:t>evaluates an applicant's maturity, motivation, initiative, ability to communicate, pers</w:t>
      </w:r>
      <w:r>
        <w:rPr>
          <w:rFonts w:ascii="Arial" w:eastAsia="Arial" w:hAnsi="Arial" w:cs="Arial"/>
          <w:sz w:val="20"/>
          <w:szCs w:val="20"/>
        </w:rPr>
        <w:t>onal qualities and interests.</w:t>
      </w:r>
    </w:p>
    <w:p w14:paraId="5E41C3B6" w14:textId="77777777" w:rsidR="009478C2" w:rsidRDefault="0002220A">
      <w:pPr>
        <w:numPr>
          <w:ilvl w:val="0"/>
          <w:numId w:val="6"/>
        </w:numPr>
        <w:spacing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Personal Statement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z w:val="20"/>
          <w:szCs w:val="20"/>
        </w:rPr>
        <w:br/>
        <w:t>This statement will allow applicants to respond to specific questions and provide personal information regarding their preparation for and understanding of the dental profession and demonstrate written comm</w:t>
      </w:r>
      <w:r>
        <w:rPr>
          <w:rFonts w:ascii="Arial" w:eastAsia="Arial" w:hAnsi="Arial" w:cs="Arial"/>
          <w:sz w:val="20"/>
          <w:szCs w:val="20"/>
        </w:rPr>
        <w:t>unication skills.</w:t>
      </w:r>
    </w:p>
    <w:p w14:paraId="1BFE111C" w14:textId="77777777" w:rsidR="009478C2" w:rsidRDefault="009478C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CE3198A" w14:textId="77777777" w:rsidR="009478C2" w:rsidRDefault="0002220A">
      <w:pP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Recommended Alberta High School Prerequisites (or equivalent):</w:t>
      </w:r>
    </w:p>
    <w:p w14:paraId="2F57B014" w14:textId="77777777" w:rsidR="009478C2" w:rsidRDefault="0002220A">
      <w:pPr>
        <w:numPr>
          <w:ilvl w:val="0"/>
          <w:numId w:val="1"/>
        </w:numPr>
        <w:spacing w:line="276" w:lineRule="auto"/>
        <w:ind w:hanging="359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English Language Arts 30-1</w:t>
      </w:r>
    </w:p>
    <w:p w14:paraId="520ACD4D" w14:textId="77777777" w:rsidR="009478C2" w:rsidRDefault="0002220A">
      <w:pPr>
        <w:numPr>
          <w:ilvl w:val="0"/>
          <w:numId w:val="1"/>
        </w:numPr>
        <w:spacing w:line="276" w:lineRule="auto"/>
        <w:ind w:hanging="359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Biology 30</w:t>
      </w:r>
    </w:p>
    <w:p w14:paraId="0372DB3E" w14:textId="77777777" w:rsidR="009478C2" w:rsidRDefault="0002220A">
      <w:pPr>
        <w:numPr>
          <w:ilvl w:val="0"/>
          <w:numId w:val="1"/>
        </w:numPr>
        <w:spacing w:line="276" w:lineRule="auto"/>
        <w:ind w:hanging="359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Chemistry 30 </w:t>
      </w:r>
    </w:p>
    <w:p w14:paraId="68518BF3" w14:textId="77777777" w:rsidR="009478C2" w:rsidRDefault="0002220A">
      <w:pPr>
        <w:numPr>
          <w:ilvl w:val="0"/>
          <w:numId w:val="1"/>
        </w:numPr>
        <w:spacing w:line="276" w:lineRule="auto"/>
        <w:ind w:hanging="359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Mathematics 30-1</w:t>
      </w:r>
    </w:p>
    <w:p w14:paraId="1B72CC7C" w14:textId="77777777" w:rsidR="009478C2" w:rsidRDefault="0002220A">
      <w:pPr>
        <w:numPr>
          <w:ilvl w:val="0"/>
          <w:numId w:val="1"/>
        </w:numPr>
        <w:spacing w:line="276" w:lineRule="auto"/>
        <w:ind w:hanging="359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Physics 30</w:t>
      </w:r>
    </w:p>
    <w:p w14:paraId="1E1B7768" w14:textId="77777777" w:rsidR="009478C2" w:rsidRDefault="009478C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EC099C4" w14:textId="77777777" w:rsidR="009478C2" w:rsidRDefault="0002220A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Deadlines:</w:t>
      </w:r>
    </w:p>
    <w:p w14:paraId="5DD7A488" w14:textId="77777777" w:rsidR="009478C2" w:rsidRDefault="0002220A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Application Deadline: November 1</w:t>
      </w:r>
    </w:p>
    <w:p w14:paraId="34CFD551" w14:textId="77777777" w:rsidR="009478C2" w:rsidRDefault="0002220A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Interim Transcript Deadline: February 1</w:t>
      </w:r>
    </w:p>
    <w:p w14:paraId="24374B16" w14:textId="77777777" w:rsidR="009478C2" w:rsidRDefault="0002220A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Final document Deadline: June 15</w:t>
      </w:r>
    </w:p>
    <w:sectPr w:rsidR="00947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C30E" w14:textId="77777777" w:rsidR="0002220A" w:rsidRDefault="0002220A">
      <w:r>
        <w:separator/>
      </w:r>
    </w:p>
  </w:endnote>
  <w:endnote w:type="continuationSeparator" w:id="0">
    <w:p w14:paraId="4EB76F68" w14:textId="77777777" w:rsidR="0002220A" w:rsidRDefault="0002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9D37" w14:textId="77777777" w:rsidR="00E376B2" w:rsidRDefault="00E3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4760" w14:textId="77777777" w:rsidR="00E376B2" w:rsidRDefault="00E37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457E" w14:textId="77777777" w:rsidR="00E376B2" w:rsidRDefault="00E3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7F55" w14:textId="77777777" w:rsidR="0002220A" w:rsidRDefault="0002220A">
      <w:r>
        <w:separator/>
      </w:r>
    </w:p>
  </w:footnote>
  <w:footnote w:type="continuationSeparator" w:id="0">
    <w:p w14:paraId="7459D26B" w14:textId="77777777" w:rsidR="0002220A" w:rsidRDefault="0002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D61D" w14:textId="77777777" w:rsidR="00E376B2" w:rsidRDefault="00E3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827E" w14:textId="77777777" w:rsidR="009478C2" w:rsidRDefault="0002220A">
    <w:pPr>
      <w:tabs>
        <w:tab w:val="center" w:pos="4320"/>
        <w:tab w:val="right" w:pos="86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1A2AAD" wp14:editId="59E4211D">
              <wp:simplePos x="0" y="0"/>
              <wp:positionH relativeFrom="margin">
                <wp:posOffset>147638</wp:posOffset>
              </wp:positionH>
              <wp:positionV relativeFrom="page">
                <wp:posOffset>1147128</wp:posOffset>
              </wp:positionV>
              <wp:extent cx="6410325" cy="222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147638</wp:posOffset>
              </wp:positionH>
              <wp:positionV relativeFrom="page">
                <wp:posOffset>1147128</wp:posOffset>
              </wp:positionV>
              <wp:extent cx="6410325" cy="222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3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D72F87" wp14:editId="1D47074A">
          <wp:simplePos x="0" y="0"/>
          <wp:positionH relativeFrom="page">
            <wp:posOffset>838200</wp:posOffset>
          </wp:positionH>
          <wp:positionV relativeFrom="page">
            <wp:posOffset>660400</wp:posOffset>
          </wp:positionV>
          <wp:extent cx="2476500" cy="342900"/>
          <wp:effectExtent l="0" t="0" r="0" b="0"/>
          <wp:wrapNone/>
          <wp:docPr id="3" name="image1.png" descr="UA-1C-SOLID-LH-L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A-1C-SOLID-LH-L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8EF7308" wp14:editId="251CC8E2">
              <wp:simplePos x="0" y="0"/>
              <wp:positionH relativeFrom="page">
                <wp:posOffset>3565526</wp:posOffset>
              </wp:positionH>
              <wp:positionV relativeFrom="page">
                <wp:posOffset>750571</wp:posOffset>
              </wp:positionV>
              <wp:extent cx="3759835" cy="43751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5608" y="3570768"/>
                        <a:ext cx="374078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27266" w14:textId="77777777" w:rsidR="009478C2" w:rsidRDefault="0002220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TIP SHEET 2020-2021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3565526</wp:posOffset>
              </wp:positionH>
              <wp:positionV relativeFrom="page">
                <wp:posOffset>750571</wp:posOffset>
              </wp:positionV>
              <wp:extent cx="3759835" cy="437515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9835" cy="437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1FA06B3" w14:textId="77777777" w:rsidR="009478C2" w:rsidRDefault="009478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5016" w14:textId="77777777" w:rsidR="00E376B2" w:rsidRDefault="00E37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02E1"/>
    <w:multiLevelType w:val="multilevel"/>
    <w:tmpl w:val="34483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F494F89"/>
    <w:multiLevelType w:val="multilevel"/>
    <w:tmpl w:val="E28C9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1DE1146"/>
    <w:multiLevelType w:val="multilevel"/>
    <w:tmpl w:val="DEB45E8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684F6E23"/>
    <w:multiLevelType w:val="multilevel"/>
    <w:tmpl w:val="16F6495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68D17882"/>
    <w:multiLevelType w:val="multilevel"/>
    <w:tmpl w:val="DEFE6304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7F234572"/>
    <w:multiLevelType w:val="multilevel"/>
    <w:tmpl w:val="ACAE330A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C2"/>
    <w:rsid w:val="0002220A"/>
    <w:rsid w:val="009478C2"/>
    <w:rsid w:val="00E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965B"/>
  <w15:docId w15:val="{96BABB21-2861-2841-A14A-14E1959F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B2"/>
  </w:style>
  <w:style w:type="paragraph" w:styleId="Footer">
    <w:name w:val="footer"/>
    <w:basedOn w:val="Normal"/>
    <w:link w:val="FooterChar"/>
    <w:uiPriority w:val="99"/>
    <w:unhideWhenUsed/>
    <w:rsid w:val="00E37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gistrar.ualberta.ca/calend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DeSmit</cp:lastModifiedBy>
  <cp:revision>2</cp:revision>
  <dcterms:created xsi:type="dcterms:W3CDTF">2021-02-05T17:58:00Z</dcterms:created>
  <dcterms:modified xsi:type="dcterms:W3CDTF">2021-02-05T17:58:00Z</dcterms:modified>
</cp:coreProperties>
</file>