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DAAEC9" w14:textId="77777777" w:rsidR="00134B83" w:rsidRDefault="00E64F58">
      <w:pPr>
        <w:jc w:val="center"/>
      </w:pPr>
      <w:r>
        <w:rPr>
          <w:b/>
        </w:rPr>
        <w:t>Doctor of Pharmacy (PharmD)</w:t>
      </w:r>
    </w:p>
    <w:p w14:paraId="7D701D06" w14:textId="77777777" w:rsidR="00134B83" w:rsidRDefault="00E64F58">
      <w:pPr>
        <w:jc w:val="center"/>
      </w:pPr>
      <w:r>
        <w:rPr>
          <w:b/>
        </w:rPr>
        <w:t>2020 - 2021 Admission Requirements</w:t>
      </w:r>
    </w:p>
    <w:p w14:paraId="51165E5F" w14:textId="77777777" w:rsidR="00134B83" w:rsidRDefault="00134B83">
      <w:pPr>
        <w:jc w:val="center"/>
        <w:rPr>
          <w:sz w:val="20"/>
          <w:szCs w:val="20"/>
        </w:rPr>
      </w:pPr>
    </w:p>
    <w:p w14:paraId="622F51A1" w14:textId="77777777" w:rsidR="00134B83" w:rsidRDefault="00E64F5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Program Details: </w:t>
      </w:r>
      <w:r>
        <w:rPr>
          <w:sz w:val="20"/>
          <w:szCs w:val="20"/>
        </w:rPr>
        <w:t xml:space="preserve">In pursuing the Doctor of Pharmacy (PharmD), you move towards becoming eligible for a license to practice as a pharmacist. Subjects studied in pharmacy include the pharmaceutical sciences (pharmaceutics), pharmacokinetics, pharmacology, pharmacy practice, </w:t>
      </w:r>
      <w:r>
        <w:rPr>
          <w:sz w:val="20"/>
          <w:szCs w:val="20"/>
        </w:rPr>
        <w:t>etc. Students gain experience through a coordinated experiential program in clinical and research work, as well as opportunities for international exchanges. A Doctor of Pharmacy (PharmD) degree takes four years, full-time to complete. This does not includ</w:t>
      </w:r>
      <w:r>
        <w:rPr>
          <w:sz w:val="20"/>
          <w:szCs w:val="20"/>
        </w:rPr>
        <w:t>e the required pre-professional study.</w:t>
      </w:r>
    </w:p>
    <w:p w14:paraId="4C5B75A3" w14:textId="77777777" w:rsidR="00134B83" w:rsidRDefault="00134B83">
      <w:pPr>
        <w:rPr>
          <w:b/>
          <w:sz w:val="20"/>
          <w:szCs w:val="20"/>
        </w:rPr>
      </w:pPr>
    </w:p>
    <w:p w14:paraId="6BBCDA7C" w14:textId="77777777" w:rsidR="00134B83" w:rsidRDefault="00E64F5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Quota: </w:t>
      </w:r>
      <w:r>
        <w:rPr>
          <w:sz w:val="20"/>
          <w:szCs w:val="20"/>
        </w:rPr>
        <w:t>130 Students</w:t>
      </w:r>
    </w:p>
    <w:p w14:paraId="4716B2F2" w14:textId="77777777" w:rsidR="00134B83" w:rsidRDefault="00134B83">
      <w:pPr>
        <w:rPr>
          <w:sz w:val="20"/>
          <w:szCs w:val="20"/>
        </w:rPr>
      </w:pPr>
    </w:p>
    <w:p w14:paraId="4CDBB6F8" w14:textId="77777777" w:rsidR="00134B83" w:rsidRDefault="00E64F5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Minimum Standards: </w:t>
      </w:r>
      <w:r>
        <w:rPr>
          <w:sz w:val="20"/>
          <w:szCs w:val="20"/>
        </w:rPr>
        <w:t>In order to be competitive, students should aim for the following Grade Point Averages: Alberta Students: 3.5 or greater (4-point scale), Out of Province Students: 3.7 or highe</w:t>
      </w:r>
      <w:r>
        <w:rPr>
          <w:sz w:val="20"/>
          <w:szCs w:val="20"/>
        </w:rPr>
        <w:t>r (4-point scale).</w:t>
      </w:r>
    </w:p>
    <w:p w14:paraId="240725C2" w14:textId="77777777" w:rsidR="00134B83" w:rsidRDefault="00134B83">
      <w:pPr>
        <w:rPr>
          <w:sz w:val="20"/>
          <w:szCs w:val="20"/>
        </w:rPr>
      </w:pPr>
    </w:p>
    <w:p w14:paraId="414038E7" w14:textId="77777777" w:rsidR="00134B83" w:rsidRDefault="00E64F58">
      <w:pPr>
        <w:rPr>
          <w:sz w:val="20"/>
          <w:szCs w:val="20"/>
        </w:rPr>
      </w:pPr>
      <w:r>
        <w:rPr>
          <w:sz w:val="20"/>
          <w:szCs w:val="20"/>
        </w:rPr>
        <w:t xml:space="preserve">Please note: meeting the minimum standards does not guarantee admission. </w:t>
      </w:r>
    </w:p>
    <w:p w14:paraId="57D3BCF3" w14:textId="77777777" w:rsidR="00134B83" w:rsidRDefault="00134B83">
      <w:pPr>
        <w:rPr>
          <w:sz w:val="20"/>
          <w:szCs w:val="20"/>
        </w:rPr>
      </w:pPr>
    </w:p>
    <w:p w14:paraId="7104979B" w14:textId="77777777" w:rsidR="00134B83" w:rsidRDefault="00E64F5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Admission Requirements: </w:t>
      </w:r>
    </w:p>
    <w:p w14:paraId="583913A3" w14:textId="77777777" w:rsidR="00134B83" w:rsidRDefault="00E64F58">
      <w:pPr>
        <w:numPr>
          <w:ilvl w:val="0"/>
          <w:numId w:val="3"/>
        </w:numPr>
        <w:ind w:hanging="719"/>
        <w:rPr>
          <w:sz w:val="20"/>
          <w:szCs w:val="20"/>
        </w:rPr>
      </w:pPr>
      <w:r>
        <w:rPr>
          <w:sz w:val="20"/>
          <w:szCs w:val="20"/>
        </w:rPr>
        <w:t xml:space="preserve">Prerequisite Courses: </w:t>
      </w:r>
    </w:p>
    <w:p w14:paraId="20B337A6" w14:textId="77777777" w:rsidR="00134B83" w:rsidRDefault="00E64F58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minimum requirements for admission to the Pharmacy Program are the satisfactory completion of </w:t>
      </w:r>
      <w:r>
        <w:rPr>
          <w:noProof/>
          <w:sz w:val="20"/>
          <w:szCs w:val="20"/>
        </w:rPr>
        <w:drawing>
          <wp:inline distT="114300" distB="114300" distL="114300" distR="114300" wp14:anchorId="6C715CA7" wp14:editId="53FC65E8">
            <wp:extent cx="114300" cy="952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60 of transfer</w:t>
      </w:r>
      <w:r>
        <w:rPr>
          <w:sz w:val="20"/>
          <w:szCs w:val="20"/>
        </w:rPr>
        <w:t>able work, including:</w:t>
      </w:r>
    </w:p>
    <w:p w14:paraId="166A9035" w14:textId="77777777" w:rsidR="00134B83" w:rsidRDefault="00E64F58">
      <w:pPr>
        <w:numPr>
          <w:ilvl w:val="0"/>
          <w:numId w:val="1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t>General Chemistry (</w:t>
      </w:r>
      <w:r>
        <w:rPr>
          <w:noProof/>
          <w:sz w:val="20"/>
          <w:szCs w:val="20"/>
        </w:rPr>
        <w:drawing>
          <wp:inline distT="114300" distB="114300" distL="114300" distR="114300" wp14:anchorId="14DE5D36" wp14:editId="31AA919F">
            <wp:extent cx="114300" cy="9525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6) – Choose CHEM 101 and CHEM 102</w:t>
      </w:r>
    </w:p>
    <w:p w14:paraId="112AFDE0" w14:textId="77777777" w:rsidR="00134B83" w:rsidRDefault="00E64F58">
      <w:pPr>
        <w:numPr>
          <w:ilvl w:val="0"/>
          <w:numId w:val="1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t>Organic Chemistry (</w:t>
      </w:r>
      <w:r>
        <w:rPr>
          <w:noProof/>
          <w:sz w:val="20"/>
          <w:szCs w:val="20"/>
        </w:rPr>
        <w:drawing>
          <wp:inline distT="114300" distB="114300" distL="114300" distR="114300" wp14:anchorId="77A152A8" wp14:editId="02ECE554">
            <wp:extent cx="114300" cy="9525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6) – Choose CHEM 261 AND CHEM 263</w:t>
      </w:r>
    </w:p>
    <w:p w14:paraId="395A2BD4" w14:textId="77777777" w:rsidR="00134B83" w:rsidRDefault="00E64F58">
      <w:pPr>
        <w:numPr>
          <w:ilvl w:val="0"/>
          <w:numId w:val="1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t>English (which may include up to </w:t>
      </w:r>
      <w:r>
        <w:rPr>
          <w:noProof/>
          <w:sz w:val="20"/>
          <w:szCs w:val="20"/>
        </w:rPr>
        <w:drawing>
          <wp:inline distT="0" distB="0" distL="0" distR="0" wp14:anchorId="55268960" wp14:editId="42711B1E">
            <wp:extent cx="114300" cy="95250"/>
            <wp:effectExtent l="0" t="0" r="0" b="0"/>
            <wp:docPr id="7" name="image2.gif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*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3 in Writing Studies) (</w:t>
      </w:r>
      <w:r>
        <w:rPr>
          <w:noProof/>
          <w:sz w:val="20"/>
          <w:szCs w:val="20"/>
        </w:rPr>
        <w:drawing>
          <wp:inline distT="114300" distB="114300" distL="114300" distR="114300" wp14:anchorId="082A2651" wp14:editId="540CB1CA">
            <wp:extent cx="114300" cy="9525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6)</w:t>
      </w:r>
    </w:p>
    <w:p w14:paraId="5350395C" w14:textId="77777777" w:rsidR="00134B83" w:rsidRDefault="00E64F58">
      <w:pPr>
        <w:numPr>
          <w:ilvl w:val="0"/>
          <w:numId w:val="1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t>Biology (Cell Biology) (</w:t>
      </w:r>
      <w:r>
        <w:rPr>
          <w:noProof/>
          <w:sz w:val="20"/>
          <w:szCs w:val="20"/>
        </w:rPr>
        <w:drawing>
          <wp:inline distT="114300" distB="114300" distL="114300" distR="114300" wp14:anchorId="060D6D5A" wp14:editId="4C28B670">
            <wp:extent cx="114300" cy="95250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3) – Choose BIOL 107</w:t>
      </w:r>
    </w:p>
    <w:p w14:paraId="47B553FD" w14:textId="77777777" w:rsidR="00134B83" w:rsidRDefault="00E64F58">
      <w:pPr>
        <w:numPr>
          <w:ilvl w:val="0"/>
          <w:numId w:val="1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t>Biochemistry (</w:t>
      </w:r>
      <w:r>
        <w:rPr>
          <w:noProof/>
          <w:sz w:val="20"/>
          <w:szCs w:val="20"/>
        </w:rPr>
        <w:drawing>
          <wp:inline distT="114300" distB="114300" distL="114300" distR="114300" wp14:anchorId="50EBCEFD" wp14:editId="017093C2">
            <wp:extent cx="114300" cy="9525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3) –</w:t>
      </w:r>
      <w:r>
        <w:rPr>
          <w:sz w:val="20"/>
          <w:szCs w:val="20"/>
        </w:rPr>
        <w:t xml:space="preserve"> Choose BIOCH 200</w:t>
      </w:r>
    </w:p>
    <w:p w14:paraId="1263FB63" w14:textId="77777777" w:rsidR="00134B83" w:rsidRDefault="00E64F58">
      <w:pPr>
        <w:numPr>
          <w:ilvl w:val="0"/>
          <w:numId w:val="1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t>Mathematics (Algebra or Calculus) (</w:t>
      </w:r>
      <w:r>
        <w:rPr>
          <w:noProof/>
          <w:sz w:val="20"/>
          <w:szCs w:val="20"/>
        </w:rPr>
        <w:drawing>
          <wp:inline distT="114300" distB="114300" distL="114300" distR="114300" wp14:anchorId="56E136C4" wp14:editId="18FEED60">
            <wp:extent cx="114300" cy="95250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3)</w:t>
      </w:r>
    </w:p>
    <w:p w14:paraId="20AFBCB7" w14:textId="77777777" w:rsidR="00134B83" w:rsidRDefault="00E64F58">
      <w:pPr>
        <w:numPr>
          <w:ilvl w:val="0"/>
          <w:numId w:val="1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t>Statistics (</w:t>
      </w:r>
      <w:r>
        <w:rPr>
          <w:noProof/>
          <w:sz w:val="20"/>
          <w:szCs w:val="20"/>
        </w:rPr>
        <w:drawing>
          <wp:inline distT="114300" distB="114300" distL="114300" distR="114300" wp14:anchorId="06E53799" wp14:editId="22929325">
            <wp:extent cx="114300" cy="9525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3) – Choose STAT 151</w:t>
      </w:r>
    </w:p>
    <w:p w14:paraId="10E7715B" w14:textId="77777777" w:rsidR="00134B83" w:rsidRDefault="00E64F58">
      <w:pPr>
        <w:numPr>
          <w:ilvl w:val="0"/>
          <w:numId w:val="1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t>Microbiology (</w:t>
      </w:r>
      <w:r>
        <w:rPr>
          <w:noProof/>
          <w:sz w:val="20"/>
          <w:szCs w:val="20"/>
        </w:rPr>
        <w:drawing>
          <wp:inline distT="114300" distB="114300" distL="114300" distR="114300" wp14:anchorId="6C23AC82" wp14:editId="2F9DEEAA">
            <wp:extent cx="114300" cy="95250"/>
            <wp:effectExtent l="0" t="0" r="0" b="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3) – Choose MICRB 265</w:t>
      </w:r>
    </w:p>
    <w:p w14:paraId="19F45E5E" w14:textId="77777777" w:rsidR="00134B83" w:rsidRDefault="00E64F58">
      <w:pPr>
        <w:numPr>
          <w:ilvl w:val="0"/>
          <w:numId w:val="1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t>Human Physiology (</w:t>
      </w:r>
      <w:r>
        <w:rPr>
          <w:noProof/>
          <w:sz w:val="20"/>
          <w:szCs w:val="20"/>
        </w:rPr>
        <w:drawing>
          <wp:inline distT="114300" distB="114300" distL="114300" distR="114300" wp14:anchorId="58D9B7EA" wp14:editId="337162C7">
            <wp:extent cx="114300" cy="95250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6) – Choose PHYSL 210A/B or PHSYL 212/214</w:t>
      </w:r>
    </w:p>
    <w:p w14:paraId="4ED4F95D" w14:textId="77777777" w:rsidR="00134B83" w:rsidRDefault="00E64F58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remaining credits can be made up by successful completion of a </w:t>
      </w:r>
      <w:r>
        <w:rPr>
          <w:sz w:val="20"/>
          <w:szCs w:val="20"/>
        </w:rPr>
        <w:t xml:space="preserve">combination of university level course work. </w:t>
      </w:r>
    </w:p>
    <w:p w14:paraId="5B6F4DFC" w14:textId="77777777" w:rsidR="00134B83" w:rsidRDefault="00134B83">
      <w:pPr>
        <w:ind w:left="2160"/>
        <w:rPr>
          <w:sz w:val="20"/>
          <w:szCs w:val="20"/>
        </w:rPr>
      </w:pPr>
    </w:p>
    <w:p w14:paraId="580F9749" w14:textId="77777777" w:rsidR="00134B83" w:rsidRDefault="00E64F58">
      <w:pPr>
        <w:numPr>
          <w:ilvl w:val="0"/>
          <w:numId w:val="3"/>
        </w:numPr>
        <w:ind w:hanging="719"/>
        <w:rPr>
          <w:sz w:val="20"/>
          <w:szCs w:val="20"/>
        </w:rPr>
      </w:pPr>
      <w:r>
        <w:rPr>
          <w:sz w:val="20"/>
          <w:szCs w:val="20"/>
        </w:rPr>
        <w:t>Other Requirements:</w:t>
      </w:r>
    </w:p>
    <w:p w14:paraId="692BA415" w14:textId="77777777" w:rsidR="00134B83" w:rsidRDefault="00E64F58">
      <w:pPr>
        <w:ind w:left="1440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Please visit our </w:t>
      </w:r>
      <w:hyperlink r:id="rId9">
        <w:r>
          <w:rPr>
            <w:color w:val="0000FF"/>
            <w:sz w:val="20"/>
            <w:szCs w:val="20"/>
            <w:u w:val="single"/>
          </w:rPr>
          <w:t>website</w:t>
        </w:r>
      </w:hyperlink>
      <w:r>
        <w:rPr>
          <w:sz w:val="20"/>
          <w:szCs w:val="20"/>
        </w:rPr>
        <w:t xml:space="preserve"> for the forms outlined in points 1, 2, and 3. </w:t>
      </w:r>
    </w:p>
    <w:p w14:paraId="4A42AE4B" w14:textId="77777777" w:rsidR="00134B83" w:rsidRDefault="00E64F58">
      <w:pPr>
        <w:numPr>
          <w:ilvl w:val="0"/>
          <w:numId w:val="2"/>
        </w:numPr>
        <w:ind w:hanging="359"/>
        <w:rPr>
          <w:sz w:val="20"/>
          <w:szCs w:val="20"/>
        </w:rPr>
      </w:pPr>
      <w:hyperlink r:id="rId10">
        <w:r>
          <w:rPr>
            <w:sz w:val="20"/>
            <w:szCs w:val="20"/>
          </w:rPr>
          <w:t>Lett</w:t>
        </w:r>
        <w:r>
          <w:rPr>
            <w:sz w:val="20"/>
            <w:szCs w:val="20"/>
          </w:rPr>
          <w:t>er of Intent</w:t>
        </w:r>
      </w:hyperlink>
      <w:r>
        <w:rPr>
          <w:sz w:val="20"/>
          <w:szCs w:val="20"/>
        </w:rPr>
        <w:t xml:space="preserve">: Applicants must submit a letter with their application for admission stating their career goals, knowledge of the profession, related experience, and reasons for seeking admission to the Faculty of Pharmacy and Pharmaceutical Sciences. </w:t>
      </w:r>
    </w:p>
    <w:p w14:paraId="7B2545F7" w14:textId="77777777" w:rsidR="00134B83" w:rsidRDefault="00E64F58">
      <w:pPr>
        <w:numPr>
          <w:ilvl w:val="0"/>
          <w:numId w:val="2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t>Prosp</w:t>
      </w:r>
      <w:r>
        <w:rPr>
          <w:sz w:val="20"/>
          <w:szCs w:val="20"/>
        </w:rPr>
        <w:t>ective Student - Pharmacist Consultation Form: Students are required to speak with a practicing pharmacist to find out about the profession.</w:t>
      </w:r>
    </w:p>
    <w:p w14:paraId="5FFA02F3" w14:textId="77777777" w:rsidR="00134B83" w:rsidRDefault="00E64F58">
      <w:pPr>
        <w:numPr>
          <w:ilvl w:val="0"/>
          <w:numId w:val="2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t xml:space="preserve">Essential Skills Declaration Form: After review of the Essential Skills and Abilities for Entry to Practice PharmD </w:t>
      </w:r>
      <w:r>
        <w:rPr>
          <w:sz w:val="20"/>
          <w:szCs w:val="20"/>
        </w:rPr>
        <w:t>Program document, students must acknowledge the responsibilities by way of this form.</w:t>
      </w:r>
    </w:p>
    <w:p w14:paraId="1550059D" w14:textId="77777777" w:rsidR="00134B83" w:rsidRDefault="00E64F58">
      <w:pPr>
        <w:numPr>
          <w:ilvl w:val="0"/>
          <w:numId w:val="2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t xml:space="preserve">Interview – A web-based interview is required as part of the admission process. </w:t>
      </w:r>
    </w:p>
    <w:p w14:paraId="39F409A3" w14:textId="77777777" w:rsidR="00134B83" w:rsidRDefault="00E64F58">
      <w:pPr>
        <w:numPr>
          <w:ilvl w:val="0"/>
          <w:numId w:val="2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Spoken English Requirement: Applicants must meet a spoken English requirement (see the </w:t>
      </w:r>
      <w:hyperlink r:id="rId11">
        <w:r>
          <w:rPr>
            <w:color w:val="0000FF"/>
            <w:sz w:val="20"/>
            <w:szCs w:val="20"/>
            <w:u w:val="single"/>
          </w:rPr>
          <w:t>University of Alberta Calendar – English Language Proficiency</w:t>
        </w:r>
      </w:hyperlink>
      <w:r>
        <w:rPr>
          <w:sz w:val="20"/>
          <w:szCs w:val="20"/>
        </w:rPr>
        <w:t xml:space="preserve">). </w:t>
      </w:r>
    </w:p>
    <w:p w14:paraId="6222957E" w14:textId="77777777" w:rsidR="00134B83" w:rsidRDefault="00134B83">
      <w:pPr>
        <w:rPr>
          <w:sz w:val="20"/>
          <w:szCs w:val="20"/>
        </w:rPr>
      </w:pPr>
    </w:p>
    <w:p w14:paraId="63CDF676" w14:textId="77777777" w:rsidR="00134B83" w:rsidRDefault="00E64F58">
      <w:pPr>
        <w:numPr>
          <w:ilvl w:val="0"/>
          <w:numId w:val="3"/>
        </w:numPr>
        <w:ind w:hanging="719"/>
        <w:rPr>
          <w:sz w:val="20"/>
          <w:szCs w:val="20"/>
        </w:rPr>
      </w:pPr>
      <w:r>
        <w:rPr>
          <w:sz w:val="20"/>
          <w:szCs w:val="20"/>
        </w:rPr>
        <w:t>Selection Process:</w:t>
      </w:r>
    </w:p>
    <w:p w14:paraId="6F74F816" w14:textId="77777777" w:rsidR="00134B83" w:rsidRDefault="00E64F58">
      <w:pPr>
        <w:ind w:left="721"/>
        <w:rPr>
          <w:sz w:val="20"/>
          <w:szCs w:val="20"/>
        </w:rPr>
      </w:pPr>
      <w:r>
        <w:rPr>
          <w:sz w:val="20"/>
          <w:szCs w:val="20"/>
        </w:rPr>
        <w:t xml:space="preserve">Students are ranked based on a combination of the </w:t>
      </w:r>
      <w:r>
        <w:rPr>
          <w:sz w:val="20"/>
          <w:szCs w:val="20"/>
        </w:rPr>
        <w:t>following:</w:t>
      </w:r>
    </w:p>
    <w:p w14:paraId="755E616B" w14:textId="77777777" w:rsidR="00134B83" w:rsidRDefault="00134B83">
      <w:pPr>
        <w:ind w:left="721"/>
        <w:rPr>
          <w:sz w:val="20"/>
          <w:szCs w:val="20"/>
        </w:rPr>
      </w:pPr>
    </w:p>
    <w:p w14:paraId="40CC48C5" w14:textId="77777777" w:rsidR="00134B83" w:rsidRDefault="00E64F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Overall GPA-- calculated using your most recent two years of full course load (defined as at least 18 credits or more during Fall/Winter only). This applies to students applying after more than two years of study. However, students applying in </w:t>
      </w:r>
      <w:r>
        <w:rPr>
          <w:color w:val="000000"/>
          <w:sz w:val="20"/>
          <w:szCs w:val="20"/>
        </w:rPr>
        <w:t>their second year of study will need to complete all 60 credits including prerequisites by the June 15th transcript deadline.</w:t>
      </w:r>
    </w:p>
    <w:p w14:paraId="781093FE" w14:textId="77777777" w:rsidR="00134B83" w:rsidRDefault="00E64F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GPA in the foundational biological science prerequisite courses -- these include Cell Biology, Biochemistry, Microbiology, and Hum</w:t>
      </w:r>
      <w:r>
        <w:rPr>
          <w:color w:val="000000"/>
          <w:sz w:val="20"/>
          <w:szCs w:val="20"/>
        </w:rPr>
        <w:t>an Physiology.</w:t>
      </w:r>
    </w:p>
    <w:p w14:paraId="2F0A5CBA" w14:textId="77777777" w:rsidR="00134B83" w:rsidRDefault="00E64F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GPA in your </w:t>
      </w:r>
      <w:proofErr w:type="gramStart"/>
      <w:r>
        <w:rPr>
          <w:color w:val="000000"/>
          <w:sz w:val="20"/>
          <w:szCs w:val="20"/>
        </w:rPr>
        <w:t>most highest</w:t>
      </w:r>
      <w:proofErr w:type="gramEnd"/>
      <w:r>
        <w:rPr>
          <w:color w:val="000000"/>
          <w:sz w:val="20"/>
          <w:szCs w:val="20"/>
        </w:rPr>
        <w:t xml:space="preserve"> credit weight year (Fall/Winter only).</w:t>
      </w:r>
    </w:p>
    <w:p w14:paraId="3B942350" w14:textId="77777777" w:rsidR="00134B83" w:rsidRDefault="00134B83">
      <w:pPr>
        <w:ind w:left="721"/>
        <w:rPr>
          <w:sz w:val="20"/>
          <w:szCs w:val="20"/>
        </w:rPr>
      </w:pPr>
    </w:p>
    <w:p w14:paraId="3D1B8270" w14:textId="77777777" w:rsidR="00134B83" w:rsidRDefault="00E64F58">
      <w:pPr>
        <w:ind w:left="721"/>
        <w:rPr>
          <w:sz w:val="20"/>
          <w:szCs w:val="20"/>
        </w:rPr>
      </w:pPr>
      <w:r>
        <w:rPr>
          <w:sz w:val="20"/>
          <w:szCs w:val="20"/>
        </w:rPr>
        <w:t>Once applicants are ranked on the above criteria, the web-based interview is used to assess the candidate’s ability to formulate a cohesive and logical response to the intervie</w:t>
      </w:r>
      <w:r>
        <w:rPr>
          <w:sz w:val="20"/>
          <w:szCs w:val="20"/>
        </w:rPr>
        <w:t>w questions, and their ability to convey their ideas in an effective manner. The response in the Letter of Intent is also carefully reviewed for grammar, content, and completeness.</w:t>
      </w:r>
    </w:p>
    <w:p w14:paraId="6367DC60" w14:textId="77777777" w:rsidR="00134B83" w:rsidRDefault="00134B83">
      <w:pPr>
        <w:ind w:left="721"/>
        <w:rPr>
          <w:sz w:val="20"/>
          <w:szCs w:val="20"/>
        </w:rPr>
      </w:pPr>
    </w:p>
    <w:p w14:paraId="227E38FA" w14:textId="77777777" w:rsidR="00134B83" w:rsidRDefault="00E64F58">
      <w:pPr>
        <w:ind w:left="721"/>
        <w:rPr>
          <w:sz w:val="20"/>
          <w:szCs w:val="20"/>
        </w:rPr>
      </w:pPr>
      <w:r>
        <w:rPr>
          <w:sz w:val="20"/>
          <w:szCs w:val="20"/>
        </w:rPr>
        <w:t>The Admissions Committee has the responsibility of selecting from among th</w:t>
      </w:r>
      <w:r>
        <w:rPr>
          <w:sz w:val="20"/>
          <w:szCs w:val="20"/>
        </w:rPr>
        <w:t>e applicants who have demonstrated promise to complete the program and successfully and gain licensure as pharmacists. The Pharmacy program has a limit on the number of applicants it can accept and admission is competitive.</w:t>
      </w:r>
    </w:p>
    <w:p w14:paraId="5F5C8A16" w14:textId="77777777" w:rsidR="00134B83" w:rsidRDefault="00134B83">
      <w:pPr>
        <w:rPr>
          <w:sz w:val="20"/>
          <w:szCs w:val="20"/>
        </w:rPr>
      </w:pPr>
    </w:p>
    <w:p w14:paraId="7C2A61D4" w14:textId="77777777" w:rsidR="00134B83" w:rsidRDefault="00E64F58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Recommended Alberta High School</w:t>
      </w:r>
      <w:r>
        <w:rPr>
          <w:b/>
          <w:color w:val="000000"/>
          <w:sz w:val="20"/>
          <w:szCs w:val="20"/>
        </w:rPr>
        <w:t xml:space="preserve"> Prerequisites (or equivalent):</w:t>
      </w:r>
    </w:p>
    <w:p w14:paraId="00F7FB2E" w14:textId="77777777" w:rsidR="00134B83" w:rsidRDefault="00E64F58">
      <w:pPr>
        <w:numPr>
          <w:ilvl w:val="0"/>
          <w:numId w:val="4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t>English Language Arts 30-1</w:t>
      </w:r>
    </w:p>
    <w:p w14:paraId="446BBC3F" w14:textId="77777777" w:rsidR="00134B83" w:rsidRDefault="00E64F58">
      <w:pPr>
        <w:numPr>
          <w:ilvl w:val="0"/>
          <w:numId w:val="4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t>Biology 30</w:t>
      </w:r>
    </w:p>
    <w:p w14:paraId="7421A0FD" w14:textId="77777777" w:rsidR="00134B83" w:rsidRDefault="00E64F58">
      <w:pPr>
        <w:numPr>
          <w:ilvl w:val="0"/>
          <w:numId w:val="4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t xml:space="preserve">Chemistry 30 </w:t>
      </w:r>
    </w:p>
    <w:p w14:paraId="492A08FD" w14:textId="77777777" w:rsidR="00134B83" w:rsidRDefault="00E64F58">
      <w:pPr>
        <w:numPr>
          <w:ilvl w:val="0"/>
          <w:numId w:val="4"/>
        </w:numPr>
        <w:ind w:hanging="359"/>
        <w:rPr>
          <w:sz w:val="20"/>
          <w:szCs w:val="20"/>
        </w:rPr>
      </w:pPr>
      <w:r>
        <w:rPr>
          <w:sz w:val="20"/>
          <w:szCs w:val="20"/>
        </w:rPr>
        <w:t xml:space="preserve">Mathematics 30-1 </w:t>
      </w:r>
    </w:p>
    <w:p w14:paraId="6CA7AE25" w14:textId="77777777" w:rsidR="00134B83" w:rsidRDefault="00134B83">
      <w:pPr>
        <w:rPr>
          <w:sz w:val="20"/>
          <w:szCs w:val="20"/>
        </w:rPr>
      </w:pPr>
    </w:p>
    <w:p w14:paraId="77D0B248" w14:textId="77777777" w:rsidR="00134B83" w:rsidRDefault="00E64F58">
      <w:pPr>
        <w:rPr>
          <w:sz w:val="20"/>
          <w:szCs w:val="20"/>
        </w:rPr>
      </w:pPr>
      <w:r>
        <w:rPr>
          <w:b/>
          <w:sz w:val="20"/>
          <w:szCs w:val="20"/>
        </w:rPr>
        <w:t>Deadlines:</w:t>
      </w:r>
    </w:p>
    <w:p w14:paraId="1C546347" w14:textId="77777777" w:rsidR="00134B83" w:rsidRDefault="00E64F58">
      <w:pPr>
        <w:ind w:firstLine="720"/>
        <w:rPr>
          <w:sz w:val="20"/>
          <w:szCs w:val="20"/>
        </w:rPr>
      </w:pPr>
      <w:r>
        <w:rPr>
          <w:color w:val="000000"/>
          <w:sz w:val="20"/>
          <w:szCs w:val="20"/>
        </w:rPr>
        <w:t>Application Deadline: March 1, 202</w:t>
      </w:r>
      <w:r>
        <w:rPr>
          <w:sz w:val="20"/>
          <w:szCs w:val="20"/>
        </w:rPr>
        <w:t>1</w:t>
      </w:r>
    </w:p>
    <w:sectPr w:rsidR="00134B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26329" w14:textId="77777777" w:rsidR="00E64F58" w:rsidRDefault="00E64F58">
      <w:pPr>
        <w:spacing w:line="240" w:lineRule="auto"/>
      </w:pPr>
      <w:r>
        <w:separator/>
      </w:r>
    </w:p>
  </w:endnote>
  <w:endnote w:type="continuationSeparator" w:id="0">
    <w:p w14:paraId="328E0D83" w14:textId="77777777" w:rsidR="00E64F58" w:rsidRDefault="00E6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6A5D" w14:textId="77777777" w:rsidR="00C61081" w:rsidRDefault="00C61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BD61A" w14:textId="77777777" w:rsidR="00C61081" w:rsidRDefault="00C610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C51D" w14:textId="77777777" w:rsidR="00C61081" w:rsidRDefault="00C61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F5355" w14:textId="77777777" w:rsidR="00E64F58" w:rsidRDefault="00E64F58">
      <w:pPr>
        <w:spacing w:line="240" w:lineRule="auto"/>
      </w:pPr>
      <w:r>
        <w:separator/>
      </w:r>
    </w:p>
  </w:footnote>
  <w:footnote w:type="continuationSeparator" w:id="0">
    <w:p w14:paraId="3FB5D471" w14:textId="77777777" w:rsidR="00E64F58" w:rsidRDefault="00E64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F259" w14:textId="77777777" w:rsidR="00C61081" w:rsidRDefault="00C6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2C5C" w14:textId="77777777" w:rsidR="00134B83" w:rsidRDefault="00E64F58">
    <w:pPr>
      <w:tabs>
        <w:tab w:val="center" w:pos="4320"/>
        <w:tab w:val="right" w:pos="86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C0C7863" wp14:editId="0573646E">
              <wp:simplePos x="0" y="0"/>
              <wp:positionH relativeFrom="margin">
                <wp:posOffset>147638</wp:posOffset>
              </wp:positionH>
              <wp:positionV relativeFrom="page">
                <wp:posOffset>1147128</wp:posOffset>
              </wp:positionV>
              <wp:extent cx="6410325" cy="2222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147638</wp:posOffset>
              </wp:positionH>
              <wp:positionV relativeFrom="page">
                <wp:posOffset>1147128</wp:posOffset>
              </wp:positionV>
              <wp:extent cx="6410325" cy="2222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03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6E08A2E" wp14:editId="5F21E5B8">
          <wp:simplePos x="0" y="0"/>
          <wp:positionH relativeFrom="page">
            <wp:posOffset>838200</wp:posOffset>
          </wp:positionH>
          <wp:positionV relativeFrom="page">
            <wp:posOffset>660400</wp:posOffset>
          </wp:positionV>
          <wp:extent cx="2476500" cy="342900"/>
          <wp:effectExtent l="0" t="0" r="0" b="0"/>
          <wp:wrapNone/>
          <wp:docPr id="9" name="image1.png" descr="UA-1C-SOLID-LH-L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A-1C-SOLID-LH-LG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276A9F9" wp14:editId="0D637F0A">
              <wp:simplePos x="0" y="0"/>
              <wp:positionH relativeFrom="page">
                <wp:posOffset>3565526</wp:posOffset>
              </wp:positionH>
              <wp:positionV relativeFrom="page">
                <wp:posOffset>750571</wp:posOffset>
              </wp:positionV>
              <wp:extent cx="3759835" cy="43751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5608" y="3570768"/>
                        <a:ext cx="374078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BCB7AB" w14:textId="77777777" w:rsidR="00134B83" w:rsidRDefault="00E64F58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TIP SHEET 2020-2021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3565526</wp:posOffset>
              </wp:positionH>
              <wp:positionV relativeFrom="page">
                <wp:posOffset>750571</wp:posOffset>
              </wp:positionV>
              <wp:extent cx="3759835" cy="437515"/>
              <wp:effectExtent b="0" l="0" r="0" t="0"/>
              <wp:wrapSquare wrapText="bothSides" distB="0" distT="0" distL="114300" distR="11430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59835" cy="437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7579A7" w14:textId="77777777" w:rsidR="00134B83" w:rsidRDefault="00134B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6F27E" w14:textId="77777777" w:rsidR="00C61081" w:rsidRDefault="00C61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141E"/>
    <w:multiLevelType w:val="multilevel"/>
    <w:tmpl w:val="D03661E4"/>
    <w:lvl w:ilvl="0">
      <w:start w:val="1"/>
      <w:numFmt w:val="upperRoman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decimal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106B79AF"/>
    <w:multiLevelType w:val="multilevel"/>
    <w:tmpl w:val="E466DEB6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2" w15:restartNumberingAfterBreak="0">
    <w:nsid w:val="37602D3F"/>
    <w:multiLevelType w:val="multilevel"/>
    <w:tmpl w:val="017C754A"/>
    <w:lvl w:ilvl="0">
      <w:start w:val="1"/>
      <w:numFmt w:val="bullet"/>
      <w:lvlText w:val="●"/>
      <w:lvlJc w:val="left"/>
      <w:pPr>
        <w:ind w:left="14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F63978"/>
    <w:multiLevelType w:val="multilevel"/>
    <w:tmpl w:val="F6DC1D94"/>
    <w:lvl w:ilvl="0">
      <w:start w:val="1"/>
      <w:numFmt w:val="decimal"/>
      <w:lvlText w:val="%1."/>
      <w:lvlJc w:val="lef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4" w15:restartNumberingAfterBreak="0">
    <w:nsid w:val="64207042"/>
    <w:multiLevelType w:val="multilevel"/>
    <w:tmpl w:val="E3302C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83"/>
    <w:rsid w:val="00134B83"/>
    <w:rsid w:val="00C61081"/>
    <w:rsid w:val="00E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4199E"/>
  <w15:docId w15:val="{96BABB21-2861-2841-A14A-14E1959F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10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81"/>
  </w:style>
  <w:style w:type="paragraph" w:styleId="Footer">
    <w:name w:val="footer"/>
    <w:basedOn w:val="Normal"/>
    <w:link w:val="FooterChar"/>
    <w:uiPriority w:val="99"/>
    <w:unhideWhenUsed/>
    <w:rsid w:val="00C610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alberta.ca/admissions/undergraduate/admission/admission-requirements/language-requireme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harm.ualberta.ca/Prospective_Students/Undergraduate_Students/~/media/University%20of%20Alberta/Faculties/Pharmacy%20and%20Pharmaceutical%20Sciences/Faculty%20Site/Prospective%20Students/Documents/Letter-of-Intent-2011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alberta.ca/pharmacy/programs/pharmd-doctor-of-pharmacy/admission-requirements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Kristy DeSmit</cp:lastModifiedBy>
  <cp:revision>2</cp:revision>
  <dcterms:created xsi:type="dcterms:W3CDTF">2021-02-05T18:14:00Z</dcterms:created>
  <dcterms:modified xsi:type="dcterms:W3CDTF">2021-02-05T18:14:00Z</dcterms:modified>
</cp:coreProperties>
</file>