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6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76"/>
        <w:tblGridChange w:id="0">
          <w:tblGrid>
            <w:gridCol w:w="10076"/>
          </w:tblGrid>
        </w:tblGridChange>
      </w:tblGrid>
      <w:tr>
        <w:trPr>
          <w:cantSplit w:val="0"/>
          <w:trHeight w:val="558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02">
            <w:pPr>
              <w:pStyle w:val="Heading2"/>
              <w:widowControl w:val="0"/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36"/>
                <w:szCs w:val="36"/>
              </w:rPr>
            </w:pPr>
            <w:bookmarkStart w:colFirst="0" w:colLast="0" w:name="_heading=h.iuig0ecfyc9j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Pharmacy Care Plan Worksheet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CREATE PATIENT DATABASE</w:t>
            </w: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: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Consider what data are relevant for each specific patient care scenario (timeliness, relevance to the reason for assessment and/or impacted medical condition/therapy, whether the patient is known or new, practice setting)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3.1835937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PATIENT ASSESSMENT</w:t>
            </w: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: DETERMINE DTPs</w:t>
            </w:r>
            <w:r w:rsidDel="00000000" w:rsidR="00000000" w:rsidRPr="00000000">
              <w:rPr>
                <w:rFonts w:ascii="Roboto Light" w:cs="Roboto Light" w:eastAsia="Roboto Light" w:hAnsi="Roboto Light"/>
                <w:sz w:val="16"/>
                <w:szCs w:val="16"/>
                <w:rtl w:val="0"/>
              </w:rPr>
              <w:t xml:space="preserve">: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List each medical condition and/or medication first (matching by indication where able), followed by any DTPs identified for a given condition. Although some medical conditions or medications may not have a DTP, a plan is still necessary for ongoing patient monitoring.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DTP Categories: unnecessary drug ● drug therapy required● ineffective drug ● dose too low ● adverse drug reaction ● dose too high ● non/over-adherence</w:t>
            </w:r>
          </w:p>
        </w:tc>
      </w:tr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PATIENT ASSESSMENT: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GOALS OF THERAPY: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State desired goals of therapy +/- timeframe (as appropriate) that outline key outcomes important to the patient’s health. Goals: cure, prevent, slow/stop progression, reduce/eliminate symptoms, achieve target.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Consider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 realistic goals determined through patient discussion. Goals of therapy are measurable or observable outcomes to evaluate the effectiveness and safety of therapy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1472"/>
              </w:tabs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PATIENT ASSESSMENT: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THERAPEUTIC ALTERNATIVES:</w:t>
            </w:r>
            <w:r w:rsidDel="00000000" w:rsidR="00000000" w:rsidRPr="00000000">
              <w:rPr>
                <w:rFonts w:ascii="Roboto Light" w:cs="Roboto Light" w:eastAsia="Roboto Light" w:hAnsi="Roboto Light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Compare relevant drug and non-drug therapies that will produce desired goals. List the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pros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 and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cons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 of each therapy as well as the rationale for each being included. </w:t>
            </w:r>
          </w:p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1472"/>
              </w:tabs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Consider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: Indication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●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Effectiveness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●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Safety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●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Adherence (including cost and access)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PLAN: MAKE A DECISION: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 In collaboration with the patient and other health care providers (as applicable), select the best alternative and implement the plan (prescribe/deprescribe, recommend, or refer). Provide a rationale for the chosen plan relative to the other alternatives considered. Address the patient/agent's readiness, importance, confidence. Explore any barriers to the action plan and collaboratively solve.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sz w:val="18"/>
                <w:szCs w:val="18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Consider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Drugs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: correct drug, formulation, route, dose, frequency, schedule, duration, medication management.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Non-drug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: non-drug measures, education, patient referral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.</w:t>
            </w:r>
          </w:p>
        </w:tc>
      </w:tr>
      <w:tr>
        <w:trPr>
          <w:cantSplit w:val="0"/>
          <w:trHeight w:val="105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after="200" w:lineRule="auto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7">
            <w:pPr>
              <w:widowControl w:val="0"/>
              <w:spacing w:after="200" w:line="240" w:lineRule="auto"/>
              <w:rPr>
                <w:rFonts w:ascii="Roboto Light" w:cs="Roboto Light" w:eastAsia="Roboto Light" w:hAnsi="Roboto Light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PLAN: MONITORING:</w:t>
            </w:r>
            <w:r w:rsidDel="00000000" w:rsidR="00000000" w:rsidRPr="00000000">
              <w:rPr>
                <w:rFonts w:ascii="Roboto Light" w:cs="Roboto Light" w:eastAsia="Roboto Light" w:hAnsi="Roboto Light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Determine the specific parameters for monitoring effectiveness and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safety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 for each therapy, who is responsible for monitoring, what the target/goal (effectiveness) or threshold for concern (safety) are, when the parameter will be monitored and what the next step might be if the target/goal is not met (effectiveness) or the threshold for concern is crossed (safety).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spacing w:after="20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9">
            <w:pPr>
              <w:widowControl w:val="0"/>
              <w:spacing w:after="120"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PLAN: FOLLOW-UP</w:t>
            </w: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: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Document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 what,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who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how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 and </w:t>
            </w:r>
            <w:r w:rsidDel="00000000" w:rsidR="00000000" w:rsidRPr="00000000">
              <w:rPr>
                <w:rFonts w:ascii="Roboto Light" w:cs="Roboto Light" w:eastAsia="Roboto Light" w:hAnsi="Roboto Light"/>
                <w:i w:val="1"/>
                <w:iCs w:val="1"/>
                <w:sz w:val="18"/>
                <w:szCs w:val="18"/>
                <w:u w:val="single"/>
                <w:rtl w:val="0"/>
              </w:rPr>
              <w:t xml:space="preserve">when</w:t>
            </w:r>
            <w:r w:rsidDel="00000000" w:rsidR="00000000" w:rsidRPr="00000000">
              <w:rPr>
                <w:rFonts w:ascii="Roboto Light" w:cs="Roboto Light" w:eastAsia="Roboto Light" w:hAnsi="Roboto Light"/>
                <w:sz w:val="18"/>
                <w:szCs w:val="18"/>
                <w:rtl w:val="0"/>
              </w:rPr>
              <w:t xml:space="preserve"> follow-up will occur.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after="12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spacing w:line="187" w:lineRule="auto"/>
        <w:ind w:left="224" w:right="-20" w:firstLine="0"/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sz w:val="16"/>
          <w:szCs w:val="16"/>
          <w:rtl w:val="0"/>
        </w:rPr>
        <w:t xml:space="preserve">Adapted with permission from the Division of Pharmacy Practice, Leslie Dan Faculty of Pharmacy, University of Toronto, 2011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RobotoLight-regular.ttf"/><Relationship Id="rId6" Type="http://schemas.openxmlformats.org/officeDocument/2006/relationships/font" Target="fonts/RobotoLight-bold.ttf"/><Relationship Id="rId7" Type="http://schemas.openxmlformats.org/officeDocument/2006/relationships/font" Target="fonts/RobotoLight-italic.ttf"/><Relationship Id="rId8" Type="http://schemas.openxmlformats.org/officeDocument/2006/relationships/font" Target="fonts/Roboto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xKoRaMU5rCzXgjjoyuuYSIly2g==">CgMxLjAyDmguaXVpZzBlY2Z5YzlqOAByITFQZERFaTVWUVdFYnhkU016dHJ2eGg4cWdOWlgzU18xbQ==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2025-07-30T16:55:00Z</dcterms:created>
</cp:coreProperties>
</file>