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3EC60" w14:textId="77777777" w:rsidR="00CA0ADC" w:rsidRPr="002478A0" w:rsidRDefault="00CA0ADC" w:rsidP="00CA0AD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478A0">
        <w:rPr>
          <w:rFonts w:ascii="Arial" w:hAnsi="Arial" w:cs="Arial"/>
          <w:b/>
        </w:rPr>
        <w:t xml:space="preserve">Research and the </w:t>
      </w:r>
      <w:r w:rsidRPr="002478A0">
        <w:rPr>
          <w:rFonts w:ascii="Arial" w:hAnsi="Arial" w:cs="Arial"/>
          <w:b/>
          <w:i/>
        </w:rPr>
        <w:t>Health Information Act</w:t>
      </w:r>
    </w:p>
    <w:p w14:paraId="43300C1F" w14:textId="77777777" w:rsidR="00CA0ADC" w:rsidRPr="002478A0" w:rsidRDefault="00CA0ADC">
      <w:pPr>
        <w:rPr>
          <w:rFonts w:ascii="Arial" w:hAnsi="Arial" w:cs="Arial"/>
        </w:rPr>
      </w:pPr>
    </w:p>
    <w:p w14:paraId="254DEBBD" w14:textId="77777777" w:rsidR="00CA0ADC" w:rsidRPr="002478A0" w:rsidRDefault="00CA0ADC">
      <w:pPr>
        <w:rPr>
          <w:rFonts w:ascii="Arial" w:hAnsi="Arial" w:cs="Arial"/>
          <w:b/>
        </w:rPr>
      </w:pPr>
      <w:r w:rsidRPr="002478A0">
        <w:rPr>
          <w:rFonts w:ascii="Arial" w:hAnsi="Arial" w:cs="Arial"/>
          <w:b/>
        </w:rPr>
        <w:t xml:space="preserve">Quick links to key sections: </w:t>
      </w:r>
    </w:p>
    <w:p w14:paraId="39596968" w14:textId="77777777" w:rsidR="00CA0ADC" w:rsidRPr="002478A0" w:rsidRDefault="002847D7" w:rsidP="00CA0A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w:anchor="Definitions" w:history="1">
        <w:r w:rsidR="00CA0ADC" w:rsidRPr="002478A0">
          <w:rPr>
            <w:rStyle w:val="Hyperlink"/>
            <w:rFonts w:ascii="Arial" w:hAnsi="Arial" w:cs="Arial"/>
          </w:rPr>
          <w:t>Definitions</w:t>
        </w:r>
      </w:hyperlink>
      <w:r w:rsidR="00CA0ADC" w:rsidRPr="002478A0">
        <w:rPr>
          <w:rFonts w:ascii="Arial" w:hAnsi="Arial" w:cs="Arial"/>
        </w:rPr>
        <w:t xml:space="preserve"> </w:t>
      </w:r>
    </w:p>
    <w:p w14:paraId="362D9A04" w14:textId="0B9F65B0" w:rsidR="00CA0ADC" w:rsidRPr="002478A0" w:rsidRDefault="002847D7" w:rsidP="00CA0A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w:anchor="Use" w:history="1">
        <w:r w:rsidR="00CA0ADC" w:rsidRPr="002478A0">
          <w:rPr>
            <w:rStyle w:val="Hyperlink"/>
            <w:rFonts w:ascii="Arial" w:hAnsi="Arial" w:cs="Arial"/>
          </w:rPr>
          <w:t>Use of health information</w:t>
        </w:r>
      </w:hyperlink>
    </w:p>
    <w:p w14:paraId="0E7A6020" w14:textId="01966D2D" w:rsidR="00CA0ADC" w:rsidRPr="002478A0" w:rsidRDefault="002847D7" w:rsidP="00CA0A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w:anchor="NonID" w:history="1">
        <w:r w:rsidR="009449EB" w:rsidRPr="00DF04CA">
          <w:rPr>
            <w:rStyle w:val="Hyperlink"/>
            <w:rFonts w:ascii="Arial" w:hAnsi="Arial" w:cs="Arial"/>
          </w:rPr>
          <w:t>Disclosure</w:t>
        </w:r>
        <w:r w:rsidR="00CA0ADC" w:rsidRPr="00DF04CA">
          <w:rPr>
            <w:rStyle w:val="Hyperlink"/>
            <w:rFonts w:ascii="Arial" w:hAnsi="Arial" w:cs="Arial"/>
          </w:rPr>
          <w:t xml:space="preserve"> of non-identifying health information</w:t>
        </w:r>
      </w:hyperlink>
      <w:r w:rsidR="00CA0ADC" w:rsidRPr="002478A0">
        <w:rPr>
          <w:rFonts w:ascii="Arial" w:hAnsi="Arial" w:cs="Arial"/>
        </w:rPr>
        <w:t xml:space="preserve"> </w:t>
      </w:r>
    </w:p>
    <w:p w14:paraId="07C668D8" w14:textId="1662E166" w:rsidR="00CA0ADC" w:rsidRPr="002478A0" w:rsidRDefault="002847D7" w:rsidP="00CA0A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w:anchor="HIcon" w:history="1">
        <w:r w:rsidR="009449EB" w:rsidRPr="00DF04CA">
          <w:rPr>
            <w:rStyle w:val="Hyperlink"/>
            <w:rFonts w:ascii="Arial" w:hAnsi="Arial" w:cs="Arial"/>
          </w:rPr>
          <w:t>Disclosure</w:t>
        </w:r>
        <w:r w:rsidR="00CA0ADC" w:rsidRPr="00DF04CA">
          <w:rPr>
            <w:rStyle w:val="Hyperlink"/>
            <w:rFonts w:ascii="Arial" w:hAnsi="Arial" w:cs="Arial"/>
          </w:rPr>
          <w:t xml:space="preserve"> of health information with consent</w:t>
        </w:r>
      </w:hyperlink>
    </w:p>
    <w:p w14:paraId="0927E273" w14:textId="7A1296C0" w:rsidR="00547BB9" w:rsidRPr="00547BB9" w:rsidRDefault="002847D7" w:rsidP="00547B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w:anchor="HIres" w:history="1">
        <w:r w:rsidR="009449EB" w:rsidRPr="00DF04CA">
          <w:rPr>
            <w:rStyle w:val="Hyperlink"/>
            <w:rFonts w:ascii="Arial" w:hAnsi="Arial" w:cs="Arial"/>
          </w:rPr>
          <w:t>Disclosure</w:t>
        </w:r>
        <w:r w:rsidR="00CA0ADC" w:rsidRPr="00DF04CA">
          <w:rPr>
            <w:rStyle w:val="Hyperlink"/>
            <w:rFonts w:ascii="Arial" w:hAnsi="Arial" w:cs="Arial"/>
          </w:rPr>
          <w:t xml:space="preserve"> of health information for research purposes</w:t>
        </w:r>
      </w:hyperlink>
    </w:p>
    <w:p w14:paraId="3E882178" w14:textId="36E88341" w:rsidR="00CA0ADC" w:rsidRPr="002478A0" w:rsidRDefault="002847D7" w:rsidP="00547B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w:anchor="Collect" w:history="1">
        <w:r w:rsidR="00547BB9" w:rsidRPr="0003461C">
          <w:rPr>
            <w:rStyle w:val="Hyperlink"/>
            <w:rFonts w:ascii="Arial" w:hAnsi="Arial" w:cs="Arial"/>
          </w:rPr>
          <w:t>Collection, Use or Disclosure by Affiliate</w:t>
        </w:r>
      </w:hyperlink>
    </w:p>
    <w:p w14:paraId="0778C6E6" w14:textId="382FF9A1" w:rsidR="00CA0ADC" w:rsidRPr="002478A0" w:rsidRDefault="002847D7" w:rsidP="00CA0A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w:anchor="DataMatch" w:history="1">
        <w:r w:rsidR="00CA0ADC" w:rsidRPr="0003461C">
          <w:rPr>
            <w:rStyle w:val="Hyperlink"/>
            <w:rFonts w:ascii="Arial" w:hAnsi="Arial" w:cs="Arial"/>
          </w:rPr>
          <w:t>Data Matching for Research</w:t>
        </w:r>
      </w:hyperlink>
    </w:p>
    <w:p w14:paraId="3F7311EA" w14:textId="26FB85BE" w:rsidR="00CA0ADC" w:rsidRPr="002478A0" w:rsidRDefault="002847D7" w:rsidP="00CA0A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w:anchor="OP" w:history="1">
        <w:r w:rsidR="00CA0ADC" w:rsidRPr="0003461C">
          <w:rPr>
            <w:rStyle w:val="Hyperlink"/>
            <w:rFonts w:ascii="Arial" w:hAnsi="Arial" w:cs="Arial"/>
          </w:rPr>
          <w:t>Offences and Penalties</w:t>
        </w:r>
      </w:hyperlink>
    </w:p>
    <w:p w14:paraId="3C8305DD" w14:textId="0FFA6FF3" w:rsidR="00CA0ADC" w:rsidRPr="002478A0" w:rsidRDefault="002847D7" w:rsidP="00CA0A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w:anchor="DisHIoutAB" w:history="1">
        <w:r w:rsidR="009449EB" w:rsidRPr="0003461C">
          <w:rPr>
            <w:rStyle w:val="Hyperlink"/>
            <w:rFonts w:ascii="Arial" w:hAnsi="Arial" w:cs="Arial"/>
          </w:rPr>
          <w:t>Disclosure</w:t>
        </w:r>
        <w:r w:rsidR="00743BEB" w:rsidRPr="0003461C">
          <w:rPr>
            <w:rStyle w:val="Hyperlink"/>
            <w:rFonts w:ascii="Arial" w:hAnsi="Arial" w:cs="Arial"/>
          </w:rPr>
          <w:t xml:space="preserve"> of H</w:t>
        </w:r>
        <w:r w:rsidR="00FA034D" w:rsidRPr="0003461C">
          <w:rPr>
            <w:rStyle w:val="Hyperlink"/>
            <w:rFonts w:ascii="Arial" w:hAnsi="Arial" w:cs="Arial"/>
          </w:rPr>
          <w:t xml:space="preserve">ealth </w:t>
        </w:r>
        <w:r w:rsidR="00743BEB" w:rsidRPr="0003461C">
          <w:rPr>
            <w:rStyle w:val="Hyperlink"/>
            <w:rFonts w:ascii="Arial" w:hAnsi="Arial" w:cs="Arial"/>
          </w:rPr>
          <w:t>I</w:t>
        </w:r>
        <w:r w:rsidR="00FA034D" w:rsidRPr="0003461C">
          <w:rPr>
            <w:rStyle w:val="Hyperlink"/>
            <w:rFonts w:ascii="Arial" w:hAnsi="Arial" w:cs="Arial"/>
          </w:rPr>
          <w:t>nformation outside of Alberta</w:t>
        </w:r>
      </w:hyperlink>
    </w:p>
    <w:p w14:paraId="0984D08C" w14:textId="77777777" w:rsidR="00CA0ADC" w:rsidRPr="002478A0" w:rsidRDefault="00CA0ADC">
      <w:pPr>
        <w:rPr>
          <w:rFonts w:ascii="Arial" w:hAnsi="Arial" w:cs="Arial"/>
        </w:rPr>
      </w:pPr>
    </w:p>
    <w:p w14:paraId="4741357E" w14:textId="77777777" w:rsidR="00F30CBC" w:rsidRPr="002478A0" w:rsidRDefault="00CA0ADC">
      <w:pPr>
        <w:rPr>
          <w:rFonts w:ascii="Arial" w:hAnsi="Arial" w:cs="Arial"/>
        </w:rPr>
      </w:pPr>
      <w:r w:rsidRPr="002478A0">
        <w:rPr>
          <w:rFonts w:ascii="Arial" w:hAnsi="Arial" w:cs="Arial"/>
        </w:rPr>
        <w:t>This document identifies the key</w:t>
      </w:r>
      <w:r w:rsidR="00F971DC" w:rsidRPr="002478A0">
        <w:rPr>
          <w:rFonts w:ascii="Arial" w:hAnsi="Arial" w:cs="Arial"/>
        </w:rPr>
        <w:t xml:space="preserve"> sections of the </w:t>
      </w:r>
      <w:r w:rsidR="00F971DC" w:rsidRPr="002478A0">
        <w:rPr>
          <w:rFonts w:ascii="Arial" w:hAnsi="Arial" w:cs="Arial"/>
          <w:i/>
        </w:rPr>
        <w:t>Health Information Act</w:t>
      </w:r>
      <w:r w:rsidR="00F971DC" w:rsidRPr="002478A0">
        <w:rPr>
          <w:rFonts w:ascii="Arial" w:hAnsi="Arial" w:cs="Arial"/>
        </w:rPr>
        <w:t xml:space="preserve"> </w:t>
      </w:r>
      <w:r w:rsidR="00F971DC" w:rsidRPr="002478A0">
        <w:rPr>
          <w:rStyle w:val="FootnoteReference"/>
          <w:rFonts w:ascii="Arial" w:hAnsi="Arial" w:cs="Arial"/>
        </w:rPr>
        <w:footnoteReference w:id="1"/>
      </w:r>
      <w:r w:rsidR="00F971DC" w:rsidRPr="002478A0">
        <w:rPr>
          <w:rFonts w:ascii="Arial" w:hAnsi="Arial" w:cs="Arial"/>
        </w:rPr>
        <w:t xml:space="preserve">that </w:t>
      </w:r>
      <w:r w:rsidRPr="002478A0">
        <w:rPr>
          <w:rFonts w:ascii="Arial" w:hAnsi="Arial" w:cs="Arial"/>
        </w:rPr>
        <w:t xml:space="preserve">may be referred to by a custodian when managing requests for information for research purposes.  It does not cover every section that may need to be considered in every situation. </w:t>
      </w:r>
    </w:p>
    <w:p w14:paraId="2BAE0A2D" w14:textId="77777777" w:rsidR="00F971DC" w:rsidRPr="002478A0" w:rsidRDefault="0041433A">
      <w:pPr>
        <w:rPr>
          <w:rFonts w:ascii="Arial" w:hAnsi="Arial" w:cs="Arial"/>
          <w:b/>
        </w:rPr>
      </w:pPr>
      <w:r w:rsidRPr="002478A0">
        <w:rPr>
          <w:rFonts w:ascii="Arial" w:hAnsi="Arial" w:cs="Arial"/>
          <w:b/>
        </w:rPr>
        <w:t>Health Information Act</w:t>
      </w:r>
    </w:p>
    <w:p w14:paraId="4EC92D4C" w14:textId="77777777" w:rsidR="0041433A" w:rsidRPr="002478A0" w:rsidRDefault="00F971DC">
      <w:pPr>
        <w:rPr>
          <w:rFonts w:ascii="Arial" w:hAnsi="Arial" w:cs="Arial"/>
          <w:b/>
        </w:rPr>
      </w:pPr>
      <w:bookmarkStart w:id="1" w:name="Definitions"/>
      <w:r w:rsidRPr="002478A0">
        <w:rPr>
          <w:rFonts w:ascii="Arial" w:hAnsi="Arial" w:cs="Arial"/>
          <w:b/>
        </w:rPr>
        <w:t xml:space="preserve">Definitions </w:t>
      </w:r>
    </w:p>
    <w:bookmarkEnd w:id="1"/>
    <w:p w14:paraId="3BE9CC13" w14:textId="77777777" w:rsidR="00F00C02" w:rsidRPr="002478A0" w:rsidRDefault="0041433A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1(1)</w:t>
      </w:r>
    </w:p>
    <w:p w14:paraId="16DBAB5B" w14:textId="0CDECEC8" w:rsidR="00F971DC" w:rsidRPr="00E716BA" w:rsidRDefault="00F971DC" w:rsidP="00E716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716BA">
        <w:rPr>
          <w:rFonts w:ascii="Arial" w:hAnsi="Arial" w:cs="Arial"/>
        </w:rPr>
        <w:t>“</w:t>
      </w:r>
      <w:r w:rsidRPr="00E716BA">
        <w:rPr>
          <w:rFonts w:ascii="Arial" w:hAnsi="Arial" w:cs="Arial"/>
          <w:b/>
        </w:rPr>
        <w:t>affiliate</w:t>
      </w:r>
      <w:r w:rsidRPr="00E716BA">
        <w:rPr>
          <w:rFonts w:ascii="Arial" w:hAnsi="Arial" w:cs="Arial"/>
        </w:rPr>
        <w:t>”, in relation to a custodian, means</w:t>
      </w:r>
    </w:p>
    <w:p w14:paraId="12B38AC1" w14:textId="77777777" w:rsidR="00E716BA" w:rsidRPr="00E716BA" w:rsidRDefault="00E716BA" w:rsidP="00E716B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49875F" w14:textId="77777777" w:rsidR="00F971DC" w:rsidRPr="002478A0" w:rsidRDefault="00F971DC" w:rsidP="00E716BA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(i) an individual employed by the custodian,</w:t>
      </w:r>
    </w:p>
    <w:p w14:paraId="13DAFBAA" w14:textId="77777777" w:rsidR="00F971DC" w:rsidRPr="002478A0" w:rsidRDefault="00F971DC" w:rsidP="00E716BA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(ii) a person who performs a service for the custodian as an appointee, volunteer or student or under a contract or agency relationship with the custodian,</w:t>
      </w:r>
    </w:p>
    <w:p w14:paraId="52F56C6B" w14:textId="77777777" w:rsidR="00F971DC" w:rsidRPr="002478A0" w:rsidRDefault="00F971DC" w:rsidP="00E716BA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(iii) a health services provider who is exercising the right to admit and treat patients at a hospital as defined in the Hospitals Act,</w:t>
      </w:r>
    </w:p>
    <w:p w14:paraId="2C4D1F89" w14:textId="77777777" w:rsidR="00F971DC" w:rsidRPr="002478A0" w:rsidRDefault="00F971DC" w:rsidP="00E716BA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(iv) an information manager as defined in section 66(1), and</w:t>
      </w:r>
    </w:p>
    <w:p w14:paraId="25BF9C5E" w14:textId="77777777" w:rsidR="00F971DC" w:rsidRPr="002478A0" w:rsidRDefault="00F971DC" w:rsidP="00E716BA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 xml:space="preserve">(v) a person who is designated under the regulations to be an affiliate, but does not include </w:t>
      </w:r>
    </w:p>
    <w:p w14:paraId="42DE9492" w14:textId="77777777" w:rsidR="00F971DC" w:rsidRPr="002478A0" w:rsidRDefault="00F971DC" w:rsidP="00E716BA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(vi) an agent as defined in the Health Insurance</w:t>
      </w:r>
    </w:p>
    <w:p w14:paraId="6FF67762" w14:textId="77777777" w:rsidR="00F971DC" w:rsidRPr="002478A0" w:rsidRDefault="00F971DC" w:rsidP="00E716BA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Premiums Act, or</w:t>
      </w:r>
    </w:p>
    <w:p w14:paraId="5D4EDC57" w14:textId="77777777" w:rsidR="00F971DC" w:rsidRPr="002478A0" w:rsidRDefault="00F971DC" w:rsidP="00E716BA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(vii) a health information repository other than a health information repository that is designated in the regulations as an affiliate;</w:t>
      </w:r>
    </w:p>
    <w:p w14:paraId="3567EB9E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C6E975" w14:textId="0389DB44" w:rsidR="00F971DC" w:rsidRPr="002478A0" w:rsidRDefault="00D73D7D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(f) “</w:t>
      </w:r>
      <w:r w:rsidRPr="002478A0">
        <w:rPr>
          <w:rFonts w:ascii="Arial" w:hAnsi="Arial" w:cs="Arial"/>
          <w:b/>
        </w:rPr>
        <w:t>custodian</w:t>
      </w:r>
      <w:r w:rsidRPr="002478A0">
        <w:rPr>
          <w:rFonts w:ascii="Arial" w:hAnsi="Arial" w:cs="Arial"/>
        </w:rPr>
        <w:t xml:space="preserve">” is defined in the </w:t>
      </w:r>
      <w:r w:rsidRPr="002478A0">
        <w:rPr>
          <w:rFonts w:ascii="Arial" w:hAnsi="Arial" w:cs="Arial"/>
          <w:i/>
        </w:rPr>
        <w:t>Health Information Act</w:t>
      </w:r>
      <w:r w:rsidRPr="002478A0">
        <w:rPr>
          <w:rFonts w:ascii="Arial" w:hAnsi="Arial" w:cs="Arial"/>
        </w:rPr>
        <w:t xml:space="preserve">. </w:t>
      </w:r>
    </w:p>
    <w:p w14:paraId="5FF71E45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512525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(g) “</w:t>
      </w:r>
      <w:r w:rsidRPr="002478A0">
        <w:rPr>
          <w:rFonts w:ascii="Arial" w:hAnsi="Arial" w:cs="Arial"/>
          <w:b/>
        </w:rPr>
        <w:t>data matching</w:t>
      </w:r>
      <w:r w:rsidRPr="002478A0">
        <w:rPr>
          <w:rFonts w:ascii="Arial" w:hAnsi="Arial" w:cs="Arial"/>
        </w:rPr>
        <w:t xml:space="preserve">” means the creation of individually identifying health information by combining individually identifying or non-identifying health information or other  information from </w:t>
      </w:r>
      <w:r w:rsidRPr="002478A0">
        <w:rPr>
          <w:rFonts w:ascii="Arial" w:hAnsi="Arial" w:cs="Arial"/>
        </w:rPr>
        <w:lastRenderedPageBreak/>
        <w:t>2 or more electronic databases, without the consent of the individuals who are the subjects of the information;</w:t>
      </w:r>
    </w:p>
    <w:p w14:paraId="120ABB62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C36842" w14:textId="77777777" w:rsidR="00F971DC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(k) “</w:t>
      </w:r>
      <w:r w:rsidRPr="002478A0">
        <w:rPr>
          <w:rFonts w:ascii="Arial" w:hAnsi="Arial" w:cs="Arial"/>
          <w:b/>
        </w:rPr>
        <w:t>health information</w:t>
      </w:r>
      <w:r w:rsidRPr="002478A0">
        <w:rPr>
          <w:rFonts w:ascii="Arial" w:hAnsi="Arial" w:cs="Arial"/>
        </w:rPr>
        <w:t>” means one or both of the following:</w:t>
      </w:r>
    </w:p>
    <w:p w14:paraId="5BE54194" w14:textId="77777777" w:rsidR="00E716BA" w:rsidRPr="002478A0" w:rsidRDefault="00E716BA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8374A9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(i) diagnostic, treatment and care information;</w:t>
      </w:r>
    </w:p>
    <w:p w14:paraId="051F3238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(ii) registration information;</w:t>
      </w:r>
    </w:p>
    <w:p w14:paraId="18D63203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49623F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(p) “</w:t>
      </w:r>
      <w:r w:rsidRPr="002478A0">
        <w:rPr>
          <w:rFonts w:ascii="Arial" w:hAnsi="Arial" w:cs="Arial"/>
          <w:b/>
        </w:rPr>
        <w:t>individually identifying</w:t>
      </w:r>
      <w:r w:rsidRPr="002478A0">
        <w:rPr>
          <w:rFonts w:ascii="Arial" w:hAnsi="Arial" w:cs="Arial"/>
        </w:rPr>
        <w:t>”, when used to describe health information, means that the identity of the individual who is the subject of the information can be readily ascertained from the information;</w:t>
      </w:r>
    </w:p>
    <w:p w14:paraId="564AFDD3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F87A12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(r) “</w:t>
      </w:r>
      <w:r w:rsidRPr="002478A0">
        <w:rPr>
          <w:rFonts w:ascii="Arial" w:hAnsi="Arial" w:cs="Arial"/>
          <w:b/>
        </w:rPr>
        <w:t>non-identifying</w:t>
      </w:r>
      <w:r w:rsidRPr="002478A0">
        <w:rPr>
          <w:rFonts w:ascii="Arial" w:hAnsi="Arial" w:cs="Arial"/>
        </w:rPr>
        <w:t>”, when used to describe health information, means that the identity of the individual who is the subject of the information cannot be readily ascertained from the information;</w:t>
      </w:r>
    </w:p>
    <w:p w14:paraId="786FC606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0CCAF0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(v) “</w:t>
      </w:r>
      <w:r w:rsidRPr="002478A0">
        <w:rPr>
          <w:rFonts w:ascii="Arial" w:hAnsi="Arial" w:cs="Arial"/>
          <w:b/>
        </w:rPr>
        <w:t>research</w:t>
      </w:r>
      <w:r w:rsidRPr="002478A0">
        <w:rPr>
          <w:rFonts w:ascii="Arial" w:hAnsi="Arial" w:cs="Arial"/>
        </w:rPr>
        <w:t>” means academic, applied or scientific research that necessitates the use of individually identifying health information;</w:t>
      </w:r>
    </w:p>
    <w:p w14:paraId="4CD255A5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2C698B" w14:textId="77777777" w:rsidR="00F971DC" w:rsidRPr="002478A0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(v.1) “</w:t>
      </w:r>
      <w:r w:rsidRPr="002478A0">
        <w:rPr>
          <w:rFonts w:ascii="Arial" w:hAnsi="Arial" w:cs="Arial"/>
          <w:b/>
        </w:rPr>
        <w:t>research ethics board</w:t>
      </w:r>
      <w:r w:rsidRPr="002478A0">
        <w:rPr>
          <w:rFonts w:ascii="Arial" w:hAnsi="Arial" w:cs="Arial"/>
        </w:rPr>
        <w:t>” means a body designated by the regulations as a research ethics board;</w:t>
      </w:r>
    </w:p>
    <w:p w14:paraId="0ED9C1BB" w14:textId="77777777" w:rsidR="00F971DC" w:rsidRPr="002478A0" w:rsidRDefault="00F971DC">
      <w:pPr>
        <w:rPr>
          <w:rFonts w:ascii="Arial" w:hAnsi="Arial" w:cs="Arial"/>
        </w:rPr>
      </w:pPr>
    </w:p>
    <w:p w14:paraId="52E9DA4E" w14:textId="77777777" w:rsidR="00F971DC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2" w:name="Use"/>
      <w:r w:rsidRPr="002478A0">
        <w:rPr>
          <w:rFonts w:ascii="Arial" w:hAnsi="Arial" w:cs="Arial"/>
          <w:b/>
        </w:rPr>
        <w:t>Use of individually identifying health information</w:t>
      </w:r>
      <w:bookmarkEnd w:id="2"/>
    </w:p>
    <w:p w14:paraId="01FF01AC" w14:textId="77777777" w:rsidR="00743BEB" w:rsidRPr="002478A0" w:rsidRDefault="00743BEB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5A508D4" w14:textId="079C7721" w:rsidR="00F919C8" w:rsidRDefault="00F919C8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2E336D">
        <w:rPr>
          <w:rFonts w:ascii="Arial" w:hAnsi="Arial" w:cs="Arial"/>
        </w:rPr>
        <w:t xml:space="preserve">  A custodian may use non-identifying health information for any purpose. </w:t>
      </w:r>
    </w:p>
    <w:p w14:paraId="470CAC3D" w14:textId="77777777" w:rsidR="00F919C8" w:rsidRDefault="00F919C8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68C517" w14:textId="3A478ACF" w:rsidR="00F971DC" w:rsidRDefault="00F971DC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27(1) A custodian may use individually identifying health information in its custody or under its control for the following purposes:</w:t>
      </w:r>
    </w:p>
    <w:p w14:paraId="573257F1" w14:textId="77777777" w:rsidR="002478A0" w:rsidRPr="002478A0" w:rsidRDefault="002478A0" w:rsidP="00F97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5DECA0" w14:textId="77777777" w:rsidR="00F971DC" w:rsidRPr="002478A0" w:rsidRDefault="00F971D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(d) conducting research or performing data matching or other</w:t>
      </w:r>
      <w:r w:rsidR="008859EC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services to facilitate another person’s research</w:t>
      </w:r>
    </w:p>
    <w:p w14:paraId="4164A7AB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744BBE44" w14:textId="77777777" w:rsidR="00F971DC" w:rsidRPr="002478A0" w:rsidRDefault="00F971DC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(i) if the custodian or researcher has submitted a</w:t>
      </w:r>
      <w:r w:rsidR="008859EC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proposal to a research ethics board in accordance</w:t>
      </w:r>
      <w:r w:rsidR="008859EC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with section 49,</w:t>
      </w:r>
    </w:p>
    <w:p w14:paraId="4D813345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18CF388E" w14:textId="77777777" w:rsidR="00F971DC" w:rsidRPr="002478A0" w:rsidRDefault="00F971DC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(ii) if the research ethics board is satisfied as to the</w:t>
      </w:r>
      <w:r w:rsidR="008859EC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matters referred to in section 50(1)(b),</w:t>
      </w:r>
    </w:p>
    <w:p w14:paraId="7098CA56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4537EA7F" w14:textId="15736256" w:rsidR="00F971DC" w:rsidRPr="002478A0" w:rsidRDefault="00F971DC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(iii) if the custodian or researcher has complied with or</w:t>
      </w:r>
      <w:r w:rsidR="008859EC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undertaken to comply with the conditions, if any,</w:t>
      </w:r>
      <w:r w:rsidR="002E5FB5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suggested by the research ethics board, and</w:t>
      </w:r>
    </w:p>
    <w:p w14:paraId="30973124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66B64C6C" w14:textId="668CBEC9" w:rsidR="00F971DC" w:rsidRPr="002478A0" w:rsidRDefault="00F971DC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(iv) where the research ethics board recommends that</w:t>
      </w:r>
      <w:r w:rsidR="008859EC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consents should be obtained from the individuals</w:t>
      </w:r>
      <w:r w:rsidR="002E5FB5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who are the subjects of the health information to be used in the research, if those consents have been</w:t>
      </w:r>
      <w:r w:rsidR="008859EC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obtained;</w:t>
      </w:r>
    </w:p>
    <w:p w14:paraId="7A9EC118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D68D73A" w14:textId="5ABF7DCD" w:rsidR="00F00C02" w:rsidRPr="002478A0" w:rsidRDefault="002E5FB5" w:rsidP="002E5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 xml:space="preserve">28  An affiliate of a custodian must not use health information in any manner that is not in accordance with the affiliate’s duties to the custodian. </w:t>
      </w:r>
    </w:p>
    <w:p w14:paraId="7CD3C5FE" w14:textId="77777777" w:rsidR="002E5FB5" w:rsidRPr="002478A0" w:rsidRDefault="002E5FB5" w:rsidP="002E5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5F9616" w14:textId="77777777" w:rsidR="002E5FB5" w:rsidRDefault="002E5FB5" w:rsidP="002E5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580F7E" w14:textId="77777777" w:rsidR="00643A64" w:rsidRPr="002478A0" w:rsidRDefault="00643A64" w:rsidP="002E5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62AB35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3" w:name="NonID"/>
      <w:r w:rsidRPr="002478A0">
        <w:rPr>
          <w:rFonts w:ascii="Arial" w:hAnsi="Arial" w:cs="Arial"/>
          <w:b/>
        </w:rPr>
        <w:lastRenderedPageBreak/>
        <w:t>Disclosure of non-identifying health information</w:t>
      </w:r>
      <w:bookmarkEnd w:id="3"/>
    </w:p>
    <w:p w14:paraId="5F4EE2E6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32(1) A custodian may disclose non-identifying health information for any purpose.</w:t>
      </w:r>
    </w:p>
    <w:p w14:paraId="2BFAFFC1" w14:textId="77777777" w:rsidR="002478A0" w:rsidRP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6378CE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(2) If a disclosure under subsection (1) is to a person that is not a custodian, the custodian must inform the person that the person must notify the Commissioner of an intention to use the information for data matching before performing the data matching.</w:t>
      </w:r>
    </w:p>
    <w:p w14:paraId="331E5C37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15B844" w14:textId="77777777" w:rsidR="00F00C02" w:rsidRPr="002478A0" w:rsidRDefault="00F00C02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C47AAE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4" w:name="HIcon"/>
      <w:r w:rsidRPr="002478A0">
        <w:rPr>
          <w:rFonts w:ascii="Arial" w:hAnsi="Arial" w:cs="Arial"/>
          <w:b/>
        </w:rPr>
        <w:t>Disclosure of individually identifying health information to be with consent</w:t>
      </w:r>
      <w:bookmarkEnd w:id="4"/>
    </w:p>
    <w:p w14:paraId="42A330BD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34(1) Subject to sections 35 to 40, a custodian may disclose individually identifying health information to a person other than the individual who is the subject of the information if the individual has consented to the disclosure.</w:t>
      </w:r>
    </w:p>
    <w:p w14:paraId="36BD171F" w14:textId="77777777" w:rsidR="002478A0" w:rsidRP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91A019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(2) A consent referred to in subsection (1) must be provided in writing or electronically and must include</w:t>
      </w:r>
    </w:p>
    <w:p w14:paraId="32B7A5F7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an authorization for the custodian to disclose the health information specified in the consent,</w:t>
      </w:r>
    </w:p>
    <w:p w14:paraId="4A66C820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the purpose for which the health information may be disclosed,</w:t>
      </w:r>
    </w:p>
    <w:p w14:paraId="641853D5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(c) the identity of the person to whom the health information may be disclosed,</w:t>
      </w:r>
    </w:p>
    <w:p w14:paraId="1454F4EA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(d) an acknowledgment that the individual providing the consent has been made aware of the reasons why the</w:t>
      </w:r>
    </w:p>
    <w:p w14:paraId="1A446304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health information is needed and the risks and benefits to the individual of consenting or refusing to consent,</w:t>
      </w:r>
    </w:p>
    <w:p w14:paraId="4C975829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(e) the date the consent is effective and the date, if any, on which the consent expires, and</w:t>
      </w:r>
    </w:p>
    <w:p w14:paraId="651DF036" w14:textId="77777777" w:rsidR="008859EC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(f) a statement that the consent may be revoked at any time by the individual providing it.</w:t>
      </w:r>
    </w:p>
    <w:p w14:paraId="4D020C05" w14:textId="77777777" w:rsidR="002478A0" w:rsidRP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48954738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(3) A disclosure of health information pursuant to this section must be carried out in accordance with the terms of the consent.</w:t>
      </w:r>
    </w:p>
    <w:p w14:paraId="6293ECBD" w14:textId="77777777" w:rsidR="002478A0" w:rsidRP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DA15FF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(4) A revocation of a consent must be provided in writing or electronically.</w:t>
      </w:r>
    </w:p>
    <w:p w14:paraId="5FEDEF17" w14:textId="77777777" w:rsidR="002478A0" w:rsidRP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8AABA2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(5) A consent or revocation of a consent that is provided in writing must be signed by the person providing it.</w:t>
      </w:r>
    </w:p>
    <w:p w14:paraId="45FA3CCB" w14:textId="77777777" w:rsidR="002478A0" w:rsidRP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E73114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(6) A consent or revocation of a consent that is provided electronically is valid only if it complies with the requirements set out in the regulations.</w:t>
      </w:r>
    </w:p>
    <w:p w14:paraId="5052B431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4B42D5" w14:textId="77777777" w:rsidR="00F00C02" w:rsidRPr="002478A0" w:rsidRDefault="00F00C02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D7932C" w14:textId="1830BE36" w:rsidR="008859EC" w:rsidRPr="002478A0" w:rsidRDefault="003848C9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5" w:name="HIres"/>
      <w:r>
        <w:rPr>
          <w:rFonts w:ascii="Arial" w:hAnsi="Arial" w:cs="Arial"/>
          <w:b/>
        </w:rPr>
        <w:t>Division 3</w:t>
      </w:r>
      <w:r w:rsidR="008859EC" w:rsidRPr="002478A0">
        <w:rPr>
          <w:rFonts w:ascii="Arial" w:hAnsi="Arial" w:cs="Arial"/>
          <w:b/>
        </w:rPr>
        <w:t xml:space="preserve"> Disclosure for Research Purposes</w:t>
      </w:r>
      <w:bookmarkEnd w:id="5"/>
    </w:p>
    <w:p w14:paraId="5C35AA84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DB7840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48 Repealed 2009 c25 s13.</w:t>
      </w:r>
    </w:p>
    <w:p w14:paraId="2BA0F11D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4EB269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478A0">
        <w:rPr>
          <w:rFonts w:ascii="Arial" w:hAnsi="Arial" w:cs="Arial"/>
          <w:u w:val="single"/>
        </w:rPr>
        <w:t>Research proposal</w:t>
      </w:r>
    </w:p>
    <w:p w14:paraId="5E1F4DEB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49 A person who intends to conduct research using health information in the custody or under the control of a custodian or health information repository must submit a proposal to a research ethics board for review by that board containing</w:t>
      </w:r>
    </w:p>
    <w:p w14:paraId="71FD2029" w14:textId="4AC78F69" w:rsidR="008859EC" w:rsidRPr="00AD2CC0" w:rsidRDefault="008859EC" w:rsidP="00AD2C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2CC0">
        <w:rPr>
          <w:rFonts w:ascii="Arial" w:hAnsi="Arial" w:cs="Arial"/>
        </w:rPr>
        <w:lastRenderedPageBreak/>
        <w:t>the information specified by the regulations, and</w:t>
      </w:r>
    </w:p>
    <w:p w14:paraId="7FFA9232" w14:textId="77777777" w:rsidR="00AD2CC0" w:rsidRPr="00AD2CC0" w:rsidRDefault="00AD2CC0" w:rsidP="00AD2C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16C7C566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any other information required by the research ethics board.</w:t>
      </w:r>
    </w:p>
    <w:p w14:paraId="08ECA151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F549EF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478A0">
        <w:rPr>
          <w:rFonts w:ascii="Arial" w:hAnsi="Arial" w:cs="Arial"/>
          <w:u w:val="single"/>
        </w:rPr>
        <w:t>Role of research ethics board</w:t>
      </w:r>
    </w:p>
    <w:p w14:paraId="752247CA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50(1) The research ethics board must</w:t>
      </w:r>
    </w:p>
    <w:p w14:paraId="3287C5B4" w14:textId="77777777" w:rsidR="00AD2CC0" w:rsidRPr="002478A0" w:rsidRDefault="00AD2CC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28F4DD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consider whether the researcher should be required to obtain consents for the disclosure of the health</w:t>
      </w:r>
    </w:p>
    <w:p w14:paraId="21468C17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information to be used in the research from the individuals who are the subjects of the information, and</w:t>
      </w:r>
    </w:p>
    <w:p w14:paraId="2A7924F9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assess whether, in the opinion of the research ethics board,</w:t>
      </w:r>
    </w:p>
    <w:p w14:paraId="3D569BDC" w14:textId="6B1EF910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(i) the proposed research is of sufficient importance that the public interest in the proposed research</w:t>
      </w:r>
      <w:r w:rsidR="002E5FB5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outweighs to a substantial degree the public interest in protecting the privacy of the individuals who are</w:t>
      </w:r>
      <w:r w:rsidR="002E5FB5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subjects of the health information to be used in the research,</w:t>
      </w:r>
    </w:p>
    <w:p w14:paraId="3EA610A7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(ii) the researcher is qualified to carry out the research,</w:t>
      </w:r>
    </w:p>
    <w:p w14:paraId="38A5DBD1" w14:textId="7826C340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(iii) adequate safeguards will be in place at the time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research will be carried out to protect the privacy of</w:t>
      </w:r>
      <w:r w:rsidR="00F00C02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individuals who are the subjects of the health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information to be used in the research and the</w:t>
      </w:r>
      <w:r w:rsidR="002E5FB5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confidentiality of that information, and</w:t>
      </w:r>
    </w:p>
    <w:p w14:paraId="4DEEA290" w14:textId="77777777" w:rsidR="008859EC" w:rsidRDefault="008859EC" w:rsidP="00AD2CC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(iv) obtaining the consents referred to in clause (a) is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unreasonable, impractical or not feasible.</w:t>
      </w:r>
    </w:p>
    <w:p w14:paraId="3344FB22" w14:textId="77777777" w:rsidR="002478A0" w:rsidRPr="002478A0" w:rsidRDefault="002478A0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56DF4CA5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(2) In making an assessment under subsection (1)(b), the research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ethics board must consider the degree to which the proposed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research may contribute to</w:t>
      </w:r>
    </w:p>
    <w:p w14:paraId="39442794" w14:textId="77777777" w:rsidR="009449EB" w:rsidRPr="002478A0" w:rsidRDefault="009449EB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8C4A14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identification, prevention or treatment of illness or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disease,</w:t>
      </w:r>
    </w:p>
    <w:p w14:paraId="5402CFEF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scientific understanding relating to health,</w:t>
      </w:r>
    </w:p>
    <w:p w14:paraId="0AEFE888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(c) promotion and protection of the health of individuals and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communities,</w:t>
      </w:r>
    </w:p>
    <w:p w14:paraId="30B861AE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(d) improved delivery of health services, or</w:t>
      </w:r>
    </w:p>
    <w:p w14:paraId="2C881380" w14:textId="77777777" w:rsidR="008859EC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(e) improvements in health system management.</w:t>
      </w:r>
    </w:p>
    <w:p w14:paraId="78632502" w14:textId="77777777" w:rsidR="002478A0" w:rsidRP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B60CD51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(3) The research ethics board must prepare a response setting out</w:t>
      </w:r>
    </w:p>
    <w:p w14:paraId="6860AEBC" w14:textId="77777777" w:rsidR="00AD2CC0" w:rsidRPr="002478A0" w:rsidRDefault="00AD2CC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B1A8FE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its recommendation under subsection (1)(a),</w:t>
      </w:r>
    </w:p>
    <w:p w14:paraId="79ACE8D1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its assessment of the matters set out in subsection (1)(b),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and</w:t>
      </w:r>
    </w:p>
    <w:p w14:paraId="796CA43E" w14:textId="77777777" w:rsidR="008859EC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(c) any conditions that the research ethics board considers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should be imposed on the researcher.</w:t>
      </w:r>
    </w:p>
    <w:p w14:paraId="0E8FBFE1" w14:textId="77777777" w:rsidR="002478A0" w:rsidRP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7E5C45A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(4) The research ethics board must send a copy of the response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required in subsection (3) to the Commissioner.</w:t>
      </w:r>
    </w:p>
    <w:p w14:paraId="24AA84D7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571908" w14:textId="77777777" w:rsidR="00643A64" w:rsidRPr="002478A0" w:rsidRDefault="00643A64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B70545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lastRenderedPageBreak/>
        <w:t>Publication of response</w:t>
      </w:r>
    </w:p>
    <w:p w14:paraId="6A0028DD" w14:textId="71A503C4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50.1 If the response of the research ethics board sent to the</w:t>
      </w:r>
      <w:r w:rsid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Commissioner under section 50(4) indicates that the research ethics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board is satisfied as to the matters referred to in section 50(1)(b),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Commissioner may publish the response in any manner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Commissioner considers appropriate.</w:t>
      </w:r>
    </w:p>
    <w:p w14:paraId="232C9781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BCF4F4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478A0">
        <w:rPr>
          <w:rFonts w:ascii="Arial" w:hAnsi="Arial" w:cs="Arial"/>
          <w:u w:val="single"/>
        </w:rPr>
        <w:t>Bar to research</w:t>
      </w:r>
    </w:p>
    <w:p w14:paraId="6C0DD3E2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51 If the research ethics board is not satisfied as to any of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matters referred to in section 50(1)(b), the researcher may not apply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to a custodian or health information repository under section 52.</w:t>
      </w:r>
    </w:p>
    <w:p w14:paraId="69867B7D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3C4F7D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478A0">
        <w:rPr>
          <w:rFonts w:ascii="Arial" w:hAnsi="Arial" w:cs="Arial"/>
          <w:u w:val="single"/>
        </w:rPr>
        <w:t>Application for disclosure of health information or to perform data matching</w:t>
      </w:r>
    </w:p>
    <w:p w14:paraId="0FC24987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52 If the research ethics board is satisfied as to the matters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referred to in section 50(1)(b), the researcher may forward to one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or more custodians or health information repositories</w:t>
      </w:r>
    </w:p>
    <w:p w14:paraId="192E5026" w14:textId="77777777" w:rsidR="00AD2CC0" w:rsidRPr="002478A0" w:rsidRDefault="00AD2CC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8B6EBA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the researcher’s proposal referred to in section 49,</w:t>
      </w:r>
    </w:p>
    <w:p w14:paraId="628E7069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1F238F44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the response of the research ethics board to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researcher’s proposal, and</w:t>
      </w:r>
    </w:p>
    <w:p w14:paraId="0D7B4FE1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323BF84C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(c) a written application for one or more of the following:</w:t>
      </w:r>
    </w:p>
    <w:p w14:paraId="41B15839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(i) disclosure of the health information to be used in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research;</w:t>
      </w:r>
    </w:p>
    <w:p w14:paraId="4B9249AA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(ii) performance of data matching;</w:t>
      </w:r>
    </w:p>
    <w:p w14:paraId="4620D91F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(iii) performance of any other service to facilitate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research.</w:t>
      </w:r>
    </w:p>
    <w:p w14:paraId="75365658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9B773D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478A0">
        <w:rPr>
          <w:rFonts w:ascii="Arial" w:hAnsi="Arial" w:cs="Arial"/>
          <w:u w:val="single"/>
        </w:rPr>
        <w:t>Conditions and consents</w:t>
      </w:r>
    </w:p>
    <w:p w14:paraId="273A3002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53(1) A custodian who has received the documents referred to in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section 52 may, but is not required to, disclose the health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information or perform data matching or other services to facilitate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research.</w:t>
      </w:r>
    </w:p>
    <w:p w14:paraId="4EB41526" w14:textId="77777777" w:rsid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509630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(2) If the custodian decides to disclose the health information or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perform data matching or other services to facilitate the research,</w:t>
      </w:r>
    </w:p>
    <w:p w14:paraId="6D9C254C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038FE225" w14:textId="106CFFD6" w:rsid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the custodian</w:t>
      </w:r>
    </w:p>
    <w:p w14:paraId="0612C059" w14:textId="5544E20F" w:rsidR="008859EC" w:rsidRPr="00AD2CC0" w:rsidRDefault="00AD2CC0" w:rsidP="00AD2CC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AD2CC0">
        <w:rPr>
          <w:rFonts w:ascii="Arial" w:hAnsi="Arial" w:cs="Arial"/>
        </w:rPr>
        <w:t>(i</w:t>
      </w:r>
      <w:r>
        <w:rPr>
          <w:rFonts w:ascii="Arial" w:hAnsi="Arial" w:cs="Arial"/>
        </w:rPr>
        <w:t xml:space="preserve">) </w:t>
      </w:r>
      <w:r w:rsidR="008859EC" w:rsidRPr="00AD2CC0">
        <w:rPr>
          <w:rFonts w:ascii="Arial" w:hAnsi="Arial" w:cs="Arial"/>
        </w:rPr>
        <w:t>must impose on the researcher the conditions</w:t>
      </w:r>
      <w:r w:rsidR="00B409D4" w:rsidRPr="00AD2CC0">
        <w:rPr>
          <w:rFonts w:ascii="Arial" w:hAnsi="Arial" w:cs="Arial"/>
        </w:rPr>
        <w:t xml:space="preserve"> </w:t>
      </w:r>
      <w:r w:rsidR="008859EC" w:rsidRPr="00AD2CC0">
        <w:rPr>
          <w:rFonts w:ascii="Arial" w:hAnsi="Arial" w:cs="Arial"/>
        </w:rPr>
        <w:t>suggested by the research ethics board, and</w:t>
      </w:r>
    </w:p>
    <w:p w14:paraId="1869C35E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(ii) may impose other conditions on the researcher,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and</w:t>
      </w:r>
    </w:p>
    <w:p w14:paraId="2C78A6FF" w14:textId="77777777" w:rsidR="008859EC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if the research ethics board recommended that consents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referred to in section 50(1)(a) be obtained, the researcher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must obtain the consents before the disclosure of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health information or performance of data matching or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other services.</w:t>
      </w:r>
    </w:p>
    <w:p w14:paraId="4858B23E" w14:textId="77777777" w:rsidR="002478A0" w:rsidRP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BAB40CE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(3) A health information repository that has received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documents referred to in section 52 may disclose the health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information or perform data matching or other services to facilitate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research only in accordance with the regulations.</w:t>
      </w:r>
    </w:p>
    <w:p w14:paraId="63E1F334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6833F4" w14:textId="77777777" w:rsidR="00643A64" w:rsidRDefault="00643A64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9DEEA2" w14:textId="77777777" w:rsidR="00643A64" w:rsidRDefault="00643A64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D89246" w14:textId="77777777" w:rsidR="00643A64" w:rsidRPr="002478A0" w:rsidRDefault="00643A64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3BFFF5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478A0">
        <w:rPr>
          <w:rFonts w:ascii="Arial" w:hAnsi="Arial" w:cs="Arial"/>
          <w:u w:val="single"/>
        </w:rPr>
        <w:lastRenderedPageBreak/>
        <w:t>Agreement between custodian and researcher</w:t>
      </w:r>
    </w:p>
    <w:p w14:paraId="0ED753B1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54(1) If the custodian decides to disclose health information to a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researcher or perform data matching or other services to facilitate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research, the researcher must enter into an agreement with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custodian in which the researcher agrees</w:t>
      </w:r>
    </w:p>
    <w:p w14:paraId="0DBAD8EE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5B2602D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to comply with</w:t>
      </w:r>
    </w:p>
    <w:p w14:paraId="5420E539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57208500" w14:textId="77777777" w:rsidR="008859EC" w:rsidRPr="002478A0" w:rsidRDefault="008859EC" w:rsidP="002478A0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(i) this Act and the regulations made under this Act,</w:t>
      </w:r>
    </w:p>
    <w:p w14:paraId="5EDDA194" w14:textId="71C08321" w:rsidR="002478A0" w:rsidRPr="002478A0" w:rsidRDefault="008859EC" w:rsidP="002478A0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(ii) any conditions imposed by the custodian relating to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use, protection, disclosure, return or disposal of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health information, and</w:t>
      </w:r>
    </w:p>
    <w:p w14:paraId="47CB7AFE" w14:textId="6C2B5BC2" w:rsidR="008859EC" w:rsidRPr="002478A0" w:rsidRDefault="008859EC" w:rsidP="002478A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2478A0">
        <w:rPr>
          <w:rFonts w:ascii="Arial" w:hAnsi="Arial" w:cs="Arial"/>
        </w:rPr>
        <w:t>(iii) any requirement imposed by the custodian to provide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safeguards against the identification, direct or</w:t>
      </w:r>
      <w:r w:rsid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indirect, of an individual who is the subject of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health information,</w:t>
      </w:r>
    </w:p>
    <w:p w14:paraId="0D068F7B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43A3A76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to use the health information only for the purpose of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conducting the proposed research,</w:t>
      </w:r>
    </w:p>
    <w:p w14:paraId="4FBB1802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8E1B90E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(c) not to publish the health information in a form that could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reasonably enable the identity of an individual who is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subject of the information to be readily ascertained,</w:t>
      </w:r>
    </w:p>
    <w:p w14:paraId="5794D2A7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6850F0C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(d) not to make any attempt to contact an individual who is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subject of the health information to obtain additional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health information unless the individual has provided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custodian with the consent referred to in section 55,</w:t>
      </w:r>
    </w:p>
    <w:p w14:paraId="036226EA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99F2BB4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(e) to allow the custodian to access or inspect the researcher’s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premises to confirm that the researcher is complying with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enactments, conditions and requirements referred to in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clause (a), and</w:t>
      </w:r>
    </w:p>
    <w:p w14:paraId="677B951B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1A5C8B68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(f) to pay the costs referred to in subsection (3).</w:t>
      </w:r>
    </w:p>
    <w:p w14:paraId="10F621D0" w14:textId="77777777" w:rsidR="00F00C02" w:rsidRPr="002478A0" w:rsidRDefault="00F00C02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5CE7A6" w14:textId="77777777" w:rsidR="008859EC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(2) When an agreement referred to in subsection (1) has been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entered into, the custodian may disclose to the researcher the health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information requested under section 52 or perform data matching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or other services to facilitate the research</w:t>
      </w:r>
    </w:p>
    <w:p w14:paraId="57127409" w14:textId="77777777" w:rsidR="002478A0" w:rsidRP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FA5FB9" w14:textId="77777777" w:rsid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with the consent of the individuals who are the subjects of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information, where the research ethics board</w:t>
      </w:r>
      <w:r w:rsidR="00F00C02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recommends that consents should be obtained, or</w:t>
      </w:r>
      <w:r w:rsidR="00B409D4" w:rsidRPr="002478A0">
        <w:rPr>
          <w:rFonts w:ascii="Arial" w:hAnsi="Arial" w:cs="Arial"/>
        </w:rPr>
        <w:t xml:space="preserve"> </w:t>
      </w:r>
    </w:p>
    <w:p w14:paraId="01382F5D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7C0D9B7" w14:textId="15372FF9" w:rsidR="008859EC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without the consent of the individuals who are the subjects</w:t>
      </w:r>
      <w:r w:rsidR="00F00C02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of the information, where the research ethics board does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not recommend that consents be obtained.</w:t>
      </w:r>
    </w:p>
    <w:p w14:paraId="637DB656" w14:textId="77777777" w:rsidR="002478A0" w:rsidRP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3C6D4415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(3) The custodian may set the costs of</w:t>
      </w:r>
    </w:p>
    <w:p w14:paraId="68C8D9E2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46D9A42F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preparing information for disclosure, or performing data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matching or other services</w:t>
      </w:r>
    </w:p>
    <w:p w14:paraId="7C5B93D5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67C6EA6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making copies of health information, and</w:t>
      </w:r>
    </w:p>
    <w:p w14:paraId="60433F53" w14:textId="77777777" w:rsidR="002478A0" w:rsidRDefault="002478A0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0EADAC67" w14:textId="77777777" w:rsidR="008859EC" w:rsidRPr="002478A0" w:rsidRDefault="008859EC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(c) obtaining the consents referred to in section 55,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which must not exceed the actual cost of providing that service.</w:t>
      </w:r>
    </w:p>
    <w:p w14:paraId="0EE13131" w14:textId="77777777" w:rsid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BB9395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lastRenderedPageBreak/>
        <w:t>(4) If the researcher contravenes or fails to meet the terms and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conditions of an agreement under this section, the agreement is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cancelled.</w:t>
      </w:r>
    </w:p>
    <w:p w14:paraId="32197C65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C5EA30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478A0">
        <w:rPr>
          <w:rFonts w:ascii="Arial" w:hAnsi="Arial" w:cs="Arial"/>
          <w:u w:val="single"/>
        </w:rPr>
        <w:t>Consent for additional information</w:t>
      </w:r>
    </w:p>
    <w:p w14:paraId="41B5EF75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55 If the researcher wishes to contact the individuals who are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subjects of the information disclosed under section 54(2) to obtain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additional health information, the custodian or an affiliate of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custodian must first obtain consents from those individuals to their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being contacted for that purpose.</w:t>
      </w:r>
    </w:p>
    <w:p w14:paraId="7BB021EF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12C423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2478A0">
        <w:rPr>
          <w:rFonts w:ascii="Arial" w:hAnsi="Arial" w:cs="Arial"/>
          <w:u w:val="single"/>
        </w:rPr>
        <w:t>Court order</w:t>
      </w:r>
    </w:p>
    <w:p w14:paraId="7DFB455B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56(1) If a researcher refuses to allow a custodian or health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information repository to access or inspect its premises in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accordance with the agreement referred to in section 54,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custodian or health information repository may apply to the Court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of Queen’s Bench for an order under subsection (2).</w:t>
      </w:r>
    </w:p>
    <w:p w14:paraId="7028D6B3" w14:textId="77777777" w:rsid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A0C1AD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(2) If the Court is satisfied that there are reasonable and probable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grounds to believe that access to premises or the production or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removal of documents is necessary for the purpose of determining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whether an agreement referred to in section 54 is being complied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with, the Court may make any order it considers necessary to</w:t>
      </w:r>
    </w:p>
    <w:p w14:paraId="5132C903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enforce compliance with the agreement.</w:t>
      </w:r>
    </w:p>
    <w:p w14:paraId="69C1902E" w14:textId="77777777" w:rsid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5656A7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(3) Where authorized to do so by an order under subsection (2), a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custodian or health information repository may</w:t>
      </w:r>
    </w:p>
    <w:p w14:paraId="1F4700FD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(a) enter and search any premises of the researcher where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research is conducted,</w:t>
      </w:r>
    </w:p>
    <w:p w14:paraId="01FDA5DB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(b) operate or cause to be operated any computer system of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the researcher to search any data contained in or available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to the system and produce a document from the data, and</w:t>
      </w:r>
    </w:p>
    <w:p w14:paraId="7AD08205" w14:textId="77777777" w:rsidR="008859EC" w:rsidRPr="002478A0" w:rsidRDefault="008859EC" w:rsidP="00AD2CC0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(c) seize and make copies of any documents of the researcher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that are or may be relevant to the investigation.</w:t>
      </w:r>
    </w:p>
    <w:p w14:paraId="41C517FE" w14:textId="77777777" w:rsid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18F441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(4) An application for an order under this section may be made ex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parte unless the Court orders otherwise.</w:t>
      </w:r>
    </w:p>
    <w:p w14:paraId="4136389A" w14:textId="77777777" w:rsid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E04C69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(5) The custodian or health information repository must return any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documents seized pursuant to a court order within 60 days after the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conclusion of the investigation that gave rise to the seizure,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including any hearing or appeal.</w:t>
      </w:r>
    </w:p>
    <w:p w14:paraId="582630CE" w14:textId="77777777" w:rsidR="002478A0" w:rsidRDefault="002478A0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E026D1" w14:textId="77777777" w:rsidR="008859EC" w:rsidRPr="002478A0" w:rsidRDefault="008859EC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(6) In this section, “document” includes any correspondence,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memorandum, book, plan, map, drawing, diagram, pictorial or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graphic work, photograph, film, microfilm, sound recording,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videotape, machine readable record or other material or thing,</w:t>
      </w:r>
      <w:r w:rsidR="00B409D4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regardless of physical form or characteristics.</w:t>
      </w:r>
    </w:p>
    <w:p w14:paraId="6F3E157C" w14:textId="77777777" w:rsidR="00094FF6" w:rsidRPr="002478A0" w:rsidRDefault="00094FF6" w:rsidP="0088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CB3606" w14:textId="77777777" w:rsidR="00094FF6" w:rsidRPr="002478A0" w:rsidRDefault="00094FF6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9416CDE" w14:textId="249A6BFD" w:rsidR="00094FF6" w:rsidRDefault="003F4A60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6" w:name="Collect"/>
      <w:r>
        <w:rPr>
          <w:rFonts w:ascii="Arial" w:hAnsi="Arial" w:cs="Arial"/>
          <w:b/>
        </w:rPr>
        <w:t>Collection, Use or Disclosure by Affiliate</w:t>
      </w:r>
      <w:bookmarkEnd w:id="6"/>
    </w:p>
    <w:p w14:paraId="67904455" w14:textId="64A6DC9C" w:rsidR="003F4A60" w:rsidRPr="003F4A60" w:rsidRDefault="003F4A60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[</w:t>
      </w:r>
      <w:r w:rsidRPr="003F4A60">
        <w:rPr>
          <w:rFonts w:ascii="Arial" w:hAnsi="Arial" w:cs="Arial"/>
          <w:b/>
          <w:i/>
        </w:rPr>
        <w:t xml:space="preserve">IPO note:  relevant if </w:t>
      </w:r>
      <w:r>
        <w:rPr>
          <w:rFonts w:ascii="Arial" w:hAnsi="Arial" w:cs="Arial"/>
          <w:b/>
          <w:i/>
        </w:rPr>
        <w:t>an affiliate is conducting research or providing services to facilitate research, in accordance with the affiliate’s duties to custodian]</w:t>
      </w:r>
    </w:p>
    <w:p w14:paraId="532D8D18" w14:textId="77777777" w:rsidR="003F4A60" w:rsidRPr="002478A0" w:rsidRDefault="003F4A60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7BC9B5E" w14:textId="77777777" w:rsidR="004D7FB5" w:rsidRDefault="00094FF6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62</w:t>
      </w:r>
      <w:r w:rsidR="003F4A60">
        <w:rPr>
          <w:rFonts w:ascii="Arial" w:hAnsi="Arial" w:cs="Arial"/>
        </w:rPr>
        <w:t xml:space="preserve"> (2)  </w:t>
      </w:r>
      <w:r w:rsidRPr="002478A0">
        <w:rPr>
          <w:rFonts w:ascii="Arial" w:hAnsi="Arial" w:cs="Arial"/>
        </w:rPr>
        <w:t>Any collection, use or disclosure of health information by an</w:t>
      </w:r>
      <w:r w:rsidR="00A432FD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affiliate of a custodian is considered to be collection, use or</w:t>
      </w:r>
      <w:r w:rsidR="00A432FD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disclosure by the custodian.</w:t>
      </w:r>
      <w:r w:rsidR="00643A64" w:rsidRPr="002478A0" w:rsidDel="00643A64">
        <w:rPr>
          <w:rFonts w:ascii="Arial" w:hAnsi="Arial" w:cs="Arial"/>
        </w:rPr>
        <w:t xml:space="preserve"> </w:t>
      </w:r>
      <w:bookmarkStart w:id="7" w:name="DataMatch"/>
    </w:p>
    <w:p w14:paraId="701EBE7F" w14:textId="39A12FDA" w:rsidR="00094FF6" w:rsidRPr="002478A0" w:rsidRDefault="00094FF6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78A0">
        <w:rPr>
          <w:rFonts w:ascii="Arial" w:hAnsi="Arial" w:cs="Arial"/>
          <w:b/>
        </w:rPr>
        <w:lastRenderedPageBreak/>
        <w:t>Data matching for research</w:t>
      </w:r>
      <w:bookmarkEnd w:id="7"/>
    </w:p>
    <w:p w14:paraId="667EF59C" w14:textId="77777777" w:rsidR="00094FF6" w:rsidRPr="002478A0" w:rsidRDefault="00094FF6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72 If data matching is performed for the purpose of conducting research, sections 48 to 56 must be complied with before the data matching is performed.</w:t>
      </w:r>
    </w:p>
    <w:p w14:paraId="2FA15C08" w14:textId="77777777" w:rsidR="00094FF6" w:rsidRPr="002478A0" w:rsidRDefault="00094FF6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CA2136" w14:textId="77777777" w:rsidR="00F00C02" w:rsidRPr="002478A0" w:rsidRDefault="00F00C02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546A22" w14:textId="77777777" w:rsidR="00A432FD" w:rsidRPr="002478A0" w:rsidRDefault="00A432FD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8" w:name="OP"/>
      <w:r w:rsidRPr="002478A0">
        <w:rPr>
          <w:rFonts w:ascii="Arial" w:hAnsi="Arial" w:cs="Arial"/>
          <w:b/>
        </w:rPr>
        <w:t>Offences and penalties</w:t>
      </w:r>
      <w:bookmarkEnd w:id="8"/>
      <w:r w:rsidRPr="002478A0">
        <w:rPr>
          <w:rFonts w:ascii="Arial" w:hAnsi="Arial" w:cs="Arial"/>
          <w:b/>
        </w:rPr>
        <w:t xml:space="preserve"> </w:t>
      </w:r>
    </w:p>
    <w:p w14:paraId="2D788247" w14:textId="77777777" w:rsidR="00FA011B" w:rsidRDefault="00A432FD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 xml:space="preserve">107 </w:t>
      </w:r>
      <w:r w:rsidR="00FA011B" w:rsidRPr="002478A0">
        <w:rPr>
          <w:rFonts w:ascii="Arial" w:hAnsi="Arial" w:cs="Arial"/>
        </w:rPr>
        <w:t xml:space="preserve">(2)(f) No person shall knowingly use individually identifying health information to market any service for a commercial purpose or to solicit money unless the individual who is the subject of the health information has specifically consented to its use for that purpose. </w:t>
      </w:r>
    </w:p>
    <w:p w14:paraId="60CB57EA" w14:textId="77777777" w:rsidR="00743BEB" w:rsidRPr="002478A0" w:rsidRDefault="00743BEB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2AB52A" w14:textId="77777777" w:rsidR="00094FF6" w:rsidRDefault="00094FF6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(3) No researcher shall knowingly breach the terms and conditions</w:t>
      </w:r>
      <w:r w:rsidR="00A432FD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of an agreement entered into with a custodian pursuant to section</w:t>
      </w:r>
      <w:r w:rsidR="00A432FD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54.</w:t>
      </w:r>
    </w:p>
    <w:p w14:paraId="73F8A1F1" w14:textId="77777777" w:rsidR="00743BEB" w:rsidRPr="002478A0" w:rsidRDefault="00743BEB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74B7CB" w14:textId="1540BCC0" w:rsidR="00094FF6" w:rsidRDefault="00094FF6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(4) No information manager shall knowingly breach the terms and</w:t>
      </w:r>
      <w:r w:rsidR="00A432FD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conditions of an agreement entered into with a custodian pursuant</w:t>
      </w:r>
      <w:r w:rsidR="00A432FD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to section 66.</w:t>
      </w:r>
    </w:p>
    <w:p w14:paraId="6F95C91F" w14:textId="77777777" w:rsidR="00743BEB" w:rsidRPr="002478A0" w:rsidRDefault="00743BEB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BAEAE" w14:textId="77777777" w:rsidR="00094FF6" w:rsidRDefault="00094FF6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(5) No person to whom non-identifying health information is</w:t>
      </w:r>
      <w:r w:rsidR="00A432FD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disclosed and who intends to use the information to perform data</w:t>
      </w:r>
      <w:r w:rsidR="00A432FD" w:rsidRPr="002478A0">
        <w:rPr>
          <w:rFonts w:ascii="Arial" w:hAnsi="Arial" w:cs="Arial"/>
        </w:rPr>
        <w:t xml:space="preserve"> </w:t>
      </w:r>
      <w:r w:rsidRPr="002478A0">
        <w:rPr>
          <w:rFonts w:ascii="Arial" w:hAnsi="Arial" w:cs="Arial"/>
        </w:rPr>
        <w:t>matching shall fail to comply with section 32(2).</w:t>
      </w:r>
    </w:p>
    <w:p w14:paraId="6051A405" w14:textId="77777777" w:rsidR="00743BEB" w:rsidRPr="002478A0" w:rsidRDefault="00743BEB" w:rsidP="00094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292213" w14:textId="77777777" w:rsidR="00A432FD" w:rsidRPr="002478A0" w:rsidRDefault="00A432FD" w:rsidP="00A43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(6) A person who contravenes this section, except subsection (5.1), is guilty of an offence and liable to a fine of not more than $50 000.</w:t>
      </w:r>
    </w:p>
    <w:p w14:paraId="040D1D14" w14:textId="77777777" w:rsidR="0041433A" w:rsidRPr="002478A0" w:rsidRDefault="0041433A" w:rsidP="00A43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214A82" w14:textId="77777777" w:rsidR="0041433A" w:rsidRPr="002478A0" w:rsidRDefault="0041433A" w:rsidP="00A43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40038" w14:textId="77777777" w:rsidR="0041433A" w:rsidRPr="002478A0" w:rsidRDefault="0041433A" w:rsidP="00A43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F93783" w14:textId="51801713" w:rsidR="0041433A" w:rsidRPr="002478A0" w:rsidRDefault="0041433A" w:rsidP="00A43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478A0">
        <w:rPr>
          <w:rFonts w:ascii="Arial" w:hAnsi="Arial" w:cs="Arial"/>
          <w:b/>
        </w:rPr>
        <w:t>HIA H</w:t>
      </w:r>
      <w:r w:rsidR="00FA034D" w:rsidRPr="002478A0">
        <w:rPr>
          <w:rFonts w:ascii="Arial" w:hAnsi="Arial" w:cs="Arial"/>
          <w:b/>
        </w:rPr>
        <w:t xml:space="preserve">ealth </w:t>
      </w:r>
      <w:r w:rsidRPr="002478A0">
        <w:rPr>
          <w:rFonts w:ascii="Arial" w:hAnsi="Arial" w:cs="Arial"/>
          <w:b/>
        </w:rPr>
        <w:t>I</w:t>
      </w:r>
      <w:r w:rsidR="00FA034D" w:rsidRPr="002478A0">
        <w:rPr>
          <w:rFonts w:ascii="Arial" w:hAnsi="Arial" w:cs="Arial"/>
          <w:b/>
        </w:rPr>
        <w:t>nformation</w:t>
      </w:r>
      <w:r w:rsidRPr="002478A0">
        <w:rPr>
          <w:rFonts w:ascii="Arial" w:hAnsi="Arial" w:cs="Arial"/>
          <w:b/>
        </w:rPr>
        <w:t xml:space="preserve"> Regulation </w:t>
      </w:r>
      <w:r w:rsidR="00FA034D" w:rsidRPr="002478A0">
        <w:rPr>
          <w:rFonts w:ascii="Arial" w:hAnsi="Arial" w:cs="Arial"/>
          <w:b/>
        </w:rPr>
        <w:t>– Disclosure of Health Information Outside Alberta</w:t>
      </w:r>
    </w:p>
    <w:p w14:paraId="1AD38E42" w14:textId="77777777" w:rsidR="0041433A" w:rsidRPr="002478A0" w:rsidRDefault="0041433A" w:rsidP="00A43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1351B7C" w14:textId="105AA631" w:rsidR="00743BEB" w:rsidRDefault="00743BEB" w:rsidP="00A43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9" w:name="DisHIoutAB"/>
      <w:r w:rsidRPr="00743BEB">
        <w:rPr>
          <w:rFonts w:ascii="Arial" w:hAnsi="Arial" w:cs="Arial"/>
          <w:b/>
        </w:rPr>
        <w:t>Disclosure of Health Information Outside of Alberta</w:t>
      </w:r>
      <w:bookmarkEnd w:id="9"/>
    </w:p>
    <w:p w14:paraId="2CBE1533" w14:textId="77777777" w:rsidR="00743BEB" w:rsidRPr="002478A0" w:rsidRDefault="00743BEB" w:rsidP="00A43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1D5487A" w14:textId="77777777" w:rsidR="0041433A" w:rsidRDefault="0041433A" w:rsidP="00414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78A0">
        <w:rPr>
          <w:rFonts w:ascii="Arial" w:hAnsi="Arial" w:cs="Arial"/>
        </w:rPr>
        <w:t>8 (4) In order to ensure the privacy and confidentiality of health information that is to be stored or used by a person in a jurisdiction outside Alberta or that is to be disclosed to a person in a jurisdiction outside Alberta, the custodian must, prior to the storage, use or disclosure of the information, enter into a written agreement with the person that</w:t>
      </w:r>
    </w:p>
    <w:p w14:paraId="370E341A" w14:textId="77777777" w:rsidR="00743BEB" w:rsidRPr="002478A0" w:rsidRDefault="00743BEB" w:rsidP="00414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4A1C3A" w14:textId="6BAB0060" w:rsidR="0041433A" w:rsidRPr="00743BEB" w:rsidRDefault="0041433A" w:rsidP="00743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3BEB">
        <w:rPr>
          <w:rFonts w:ascii="Arial" w:hAnsi="Arial" w:cs="Arial"/>
        </w:rPr>
        <w:t>provides for the custodian to retain control over the health information,</w:t>
      </w:r>
    </w:p>
    <w:p w14:paraId="36F18C95" w14:textId="77777777" w:rsidR="00743BEB" w:rsidRPr="00743BEB" w:rsidRDefault="00743BEB" w:rsidP="00743B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2C29C7D9" w14:textId="2507A032" w:rsidR="0041433A" w:rsidRPr="00743BEB" w:rsidRDefault="0041433A" w:rsidP="00743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3BEB">
        <w:rPr>
          <w:rFonts w:ascii="Arial" w:hAnsi="Arial" w:cs="Arial"/>
        </w:rPr>
        <w:t>adequately addresses the risks associated with the storage, use or disclosure of the health information,</w:t>
      </w:r>
    </w:p>
    <w:p w14:paraId="35D41A74" w14:textId="77777777" w:rsidR="00743BEB" w:rsidRPr="00743BEB" w:rsidRDefault="00743BEB" w:rsidP="0074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E49417" w14:textId="1BAD6731" w:rsidR="0041433A" w:rsidRPr="00743BEB" w:rsidRDefault="0041433A" w:rsidP="00743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3BEB">
        <w:rPr>
          <w:rFonts w:ascii="Arial" w:hAnsi="Arial" w:cs="Arial"/>
        </w:rPr>
        <w:t>requires the person to implement and maintain adequate safeguards for the security and protection of the health information,</w:t>
      </w:r>
    </w:p>
    <w:p w14:paraId="3774ECCE" w14:textId="77777777" w:rsidR="00743BEB" w:rsidRPr="00743BEB" w:rsidRDefault="00743BEB" w:rsidP="0074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122267" w14:textId="3AE36A99" w:rsidR="0041433A" w:rsidRPr="00743BEB" w:rsidRDefault="0041433A" w:rsidP="00743B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3BEB">
        <w:rPr>
          <w:rFonts w:ascii="Arial" w:hAnsi="Arial" w:cs="Arial"/>
        </w:rPr>
        <w:t>allows the custodian to monitor compliance with the terms and conditions of the agreement, and</w:t>
      </w:r>
    </w:p>
    <w:p w14:paraId="7DC2F2A4" w14:textId="77777777" w:rsidR="00743BEB" w:rsidRPr="00743BEB" w:rsidRDefault="00743BEB" w:rsidP="00743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BEA069" w14:textId="77777777" w:rsidR="0041433A" w:rsidRPr="002478A0" w:rsidRDefault="0041433A" w:rsidP="00F00C0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478A0">
        <w:rPr>
          <w:rFonts w:ascii="Arial" w:hAnsi="Arial" w:cs="Arial"/>
        </w:rPr>
        <w:t>(e) contains remedies to address any non-compliance with or breach of the terms and conditions of the agreement by the other person.</w:t>
      </w:r>
    </w:p>
    <w:sectPr w:rsidR="0041433A" w:rsidRPr="00247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CFEB52" w15:done="0"/>
  <w15:commentEx w15:paraId="5AAD64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9F232" w14:textId="77777777" w:rsidR="00F971DC" w:rsidRDefault="00F971DC" w:rsidP="00F971DC">
      <w:pPr>
        <w:spacing w:after="0" w:line="240" w:lineRule="auto"/>
      </w:pPr>
      <w:r>
        <w:separator/>
      </w:r>
    </w:p>
  </w:endnote>
  <w:endnote w:type="continuationSeparator" w:id="0">
    <w:p w14:paraId="39B5C88A" w14:textId="77777777" w:rsidR="00F971DC" w:rsidRDefault="00F971DC" w:rsidP="00F9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32A2" w14:textId="77777777" w:rsidR="007F6AB2" w:rsidRDefault="007F6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9764" w14:textId="77777777" w:rsidR="007F6AB2" w:rsidRDefault="007F6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2F92B" w14:textId="77777777" w:rsidR="007F6AB2" w:rsidRDefault="007F6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20C8E" w14:textId="77777777" w:rsidR="00F971DC" w:rsidRDefault="00F971DC" w:rsidP="00F971DC">
      <w:pPr>
        <w:spacing w:after="0" w:line="240" w:lineRule="auto"/>
      </w:pPr>
      <w:r>
        <w:separator/>
      </w:r>
    </w:p>
  </w:footnote>
  <w:footnote w:type="continuationSeparator" w:id="0">
    <w:p w14:paraId="5E44FBFB" w14:textId="77777777" w:rsidR="00F971DC" w:rsidRDefault="00F971DC" w:rsidP="00F971DC">
      <w:pPr>
        <w:spacing w:after="0" w:line="240" w:lineRule="auto"/>
      </w:pPr>
      <w:r>
        <w:continuationSeparator/>
      </w:r>
    </w:p>
  </w:footnote>
  <w:footnote w:id="1">
    <w:p w14:paraId="0C033650" w14:textId="77777777" w:rsidR="00F971DC" w:rsidRDefault="00F971DC">
      <w:pPr>
        <w:pStyle w:val="FootnoteText"/>
      </w:pPr>
      <w:r>
        <w:rPr>
          <w:rStyle w:val="FootnoteReference"/>
        </w:rPr>
        <w:footnoteRef/>
      </w:r>
      <w:r>
        <w:t xml:space="preserve"> Health Information Act of Alberta, Revised Statutes of Alberta 2000 Chapter H-5, Current as of June 17,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BAF16" w14:textId="77777777" w:rsidR="007F6AB2" w:rsidRDefault="007F6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6EF0F" w14:textId="77777777" w:rsidR="007F6AB2" w:rsidRDefault="007F6A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95949" w14:textId="77777777" w:rsidR="007F6AB2" w:rsidRDefault="007F6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A4D"/>
    <w:multiLevelType w:val="hybridMultilevel"/>
    <w:tmpl w:val="680277E6"/>
    <w:lvl w:ilvl="0" w:tplc="701AF0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E18B8"/>
    <w:multiLevelType w:val="hybridMultilevel"/>
    <w:tmpl w:val="767E58C6"/>
    <w:lvl w:ilvl="0" w:tplc="1F5EE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C4A8B"/>
    <w:multiLevelType w:val="hybridMultilevel"/>
    <w:tmpl w:val="F8AA5B66"/>
    <w:lvl w:ilvl="0" w:tplc="3EE422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D46E2A"/>
    <w:multiLevelType w:val="hybridMultilevel"/>
    <w:tmpl w:val="B514773C"/>
    <w:lvl w:ilvl="0" w:tplc="949A8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D0BF5"/>
    <w:multiLevelType w:val="hybridMultilevel"/>
    <w:tmpl w:val="C926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guire, Diane">
    <w15:presenceInfo w15:providerId="AD" w15:userId="S-1-5-21-1814914895-2029014182-858709506-1365"/>
  </w15:person>
  <w15:person w15:author="Christine Wagoner">
    <w15:presenceInfo w15:providerId="AD" w15:userId="S-1-5-21-1575059613-3524781759-2329798767-28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DC"/>
    <w:rsid w:val="0003461C"/>
    <w:rsid w:val="00094FF6"/>
    <w:rsid w:val="002478A0"/>
    <w:rsid w:val="002847D7"/>
    <w:rsid w:val="002C00E1"/>
    <w:rsid w:val="002E336D"/>
    <w:rsid w:val="002E5FB5"/>
    <w:rsid w:val="003848C9"/>
    <w:rsid w:val="003F4A60"/>
    <w:rsid w:val="0041433A"/>
    <w:rsid w:val="004D7FB5"/>
    <w:rsid w:val="00525A19"/>
    <w:rsid w:val="00547BB9"/>
    <w:rsid w:val="005A2762"/>
    <w:rsid w:val="00643A64"/>
    <w:rsid w:val="007126DA"/>
    <w:rsid w:val="00743BEB"/>
    <w:rsid w:val="00756682"/>
    <w:rsid w:val="007F6AB2"/>
    <w:rsid w:val="00843DF9"/>
    <w:rsid w:val="008859EC"/>
    <w:rsid w:val="008E2192"/>
    <w:rsid w:val="009449EB"/>
    <w:rsid w:val="009A3E1C"/>
    <w:rsid w:val="009D1150"/>
    <w:rsid w:val="009E4C9F"/>
    <w:rsid w:val="00A432FD"/>
    <w:rsid w:val="00AD2CC0"/>
    <w:rsid w:val="00B409D4"/>
    <w:rsid w:val="00B70AEA"/>
    <w:rsid w:val="00CA0ADC"/>
    <w:rsid w:val="00CF73D3"/>
    <w:rsid w:val="00D01D16"/>
    <w:rsid w:val="00D337B6"/>
    <w:rsid w:val="00D43595"/>
    <w:rsid w:val="00D73D7D"/>
    <w:rsid w:val="00DF04CA"/>
    <w:rsid w:val="00E716BA"/>
    <w:rsid w:val="00EA05D9"/>
    <w:rsid w:val="00EF7B20"/>
    <w:rsid w:val="00F00C02"/>
    <w:rsid w:val="00F13CDA"/>
    <w:rsid w:val="00F27241"/>
    <w:rsid w:val="00F30CBC"/>
    <w:rsid w:val="00F919C8"/>
    <w:rsid w:val="00F971DC"/>
    <w:rsid w:val="00FA011B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CAB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7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1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6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6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B2"/>
  </w:style>
  <w:style w:type="paragraph" w:styleId="Footer">
    <w:name w:val="footer"/>
    <w:basedOn w:val="Normal"/>
    <w:link w:val="FooterChar"/>
    <w:uiPriority w:val="99"/>
    <w:unhideWhenUsed/>
    <w:rsid w:val="007F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7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1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A0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6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68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B2"/>
  </w:style>
  <w:style w:type="paragraph" w:styleId="Footer">
    <w:name w:val="footer"/>
    <w:basedOn w:val="Normal"/>
    <w:link w:val="FooterChar"/>
    <w:uiPriority w:val="99"/>
    <w:unhideWhenUsed/>
    <w:rsid w:val="007F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2016-12-06T19:19:00Z</dcterms:created>
  <dcterms:modified xsi:type="dcterms:W3CDTF">2016-12-06T19:19:00Z</dcterms:modified>
</cp:coreProperties>
</file>