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DE5CB9">
      <w:pPr>
        <w:spacing w:before="120" w:after="0" w:line="240" w:lineRule="auto"/>
        <w:jc w:val="center"/>
        <w:rPr>
          <w:b/>
          <w:sz w:val="32"/>
          <w:szCs w:val="32"/>
        </w:rPr>
      </w:pPr>
    </w:p>
    <w:p w:rsidR="00DE5CB9" w:rsidRDefault="0014788B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ALBERTA</w:t>
      </w:r>
    </w:p>
    <w:p w:rsidR="00DE5CB9" w:rsidRDefault="00DE5CB9">
      <w:pPr>
        <w:spacing w:after="0"/>
        <w:jc w:val="center"/>
        <w:rPr>
          <w:b/>
        </w:rPr>
      </w:pPr>
    </w:p>
    <w:p w:rsidR="00DE5CB9" w:rsidRDefault="001478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PRESIDENT’S VISITING COMMITTEE</w:t>
      </w:r>
    </w:p>
    <w:p w:rsidR="00DE5CB9" w:rsidRDefault="00DE5CB9">
      <w:pPr>
        <w:spacing w:after="0"/>
        <w:jc w:val="center"/>
        <w:rPr>
          <w:b/>
        </w:rPr>
      </w:pPr>
    </w:p>
    <w:p w:rsidR="00DE5CB9" w:rsidRDefault="001478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Self-Study Template</w:t>
      </w:r>
    </w:p>
    <w:p w:rsidR="00DE5CB9" w:rsidRDefault="0014788B">
      <w:pPr>
        <w:spacing w:after="0"/>
        <w:jc w:val="center"/>
        <w:rPr>
          <w:b/>
          <w:sz w:val="32"/>
          <w:szCs w:val="32"/>
        </w:rPr>
      </w:pPr>
      <w:r>
        <w:br w:type="page"/>
      </w:r>
    </w:p>
    <w:p w:rsidR="00DE5CB9" w:rsidRDefault="00DE5CB9">
      <w:pPr>
        <w:rPr>
          <w:sz w:val="28"/>
          <w:szCs w:val="28"/>
        </w:rPr>
      </w:pPr>
    </w:p>
    <w:p w:rsidR="00DE5CB9" w:rsidRDefault="00DE5CB9">
      <w:pPr>
        <w:rPr>
          <w:sz w:val="28"/>
          <w:szCs w:val="28"/>
        </w:rPr>
      </w:pPr>
    </w:p>
    <w:p w:rsidR="00DE5CB9" w:rsidRDefault="00DE5CB9">
      <w:pPr>
        <w:rPr>
          <w:sz w:val="28"/>
          <w:szCs w:val="28"/>
        </w:rPr>
      </w:pPr>
    </w:p>
    <w:p w:rsidR="00DE5CB9" w:rsidRDefault="00DE5CB9">
      <w:pPr>
        <w:rPr>
          <w:sz w:val="28"/>
          <w:szCs w:val="28"/>
        </w:rPr>
      </w:pPr>
    </w:p>
    <w:p w:rsidR="00DE5CB9" w:rsidRDefault="00DE5CB9">
      <w:pPr>
        <w:rPr>
          <w:sz w:val="28"/>
          <w:szCs w:val="28"/>
        </w:rPr>
      </w:pPr>
    </w:p>
    <w:p w:rsidR="00DE5CB9" w:rsidRDefault="00DE5CB9">
      <w:pPr>
        <w:rPr>
          <w:sz w:val="28"/>
          <w:szCs w:val="28"/>
        </w:rPr>
      </w:pPr>
    </w:p>
    <w:p w:rsidR="00DE5CB9" w:rsidRDefault="00DE5CB9">
      <w:pPr>
        <w:rPr>
          <w:sz w:val="28"/>
          <w:szCs w:val="28"/>
        </w:rPr>
      </w:pPr>
    </w:p>
    <w:p w:rsidR="00DE5CB9" w:rsidRDefault="0014788B">
      <w:pPr>
        <w:rPr>
          <w:sz w:val="28"/>
          <w:szCs w:val="28"/>
        </w:rPr>
      </w:pPr>
      <w:r>
        <w:rPr>
          <w:sz w:val="28"/>
          <w:szCs w:val="28"/>
        </w:rPr>
        <w:t>[Program(s) Name:]: SELF STUDY REPORT</w:t>
      </w:r>
    </w:p>
    <w:p w:rsidR="00DE5CB9" w:rsidRDefault="0014788B">
      <w:r>
        <w:t>-------------------------------------------------------------------------------------------------------------------</w:t>
      </w:r>
    </w:p>
    <w:p w:rsidR="00DE5CB9" w:rsidRDefault="0014788B">
      <w:r>
        <w:t>[Date]</w:t>
      </w:r>
    </w:p>
    <w:p w:rsidR="00DE5CB9" w:rsidRDefault="00DE5CB9"/>
    <w:p w:rsidR="00DE5CB9" w:rsidRDefault="0014788B">
      <w:r>
        <w:t>Prepared by:</w:t>
      </w:r>
    </w:p>
    <w:p w:rsidR="00DE5CB9" w:rsidRDefault="0014788B">
      <w:pPr>
        <w:rPr>
          <w:b/>
          <w:sz w:val="32"/>
          <w:szCs w:val="32"/>
        </w:rPr>
      </w:pPr>
      <w:r>
        <w:t>[Self-study committee members]</w:t>
      </w:r>
    </w:p>
    <w:p w:rsidR="00DE5CB9" w:rsidRDefault="0014788B">
      <w:pPr>
        <w:spacing w:before="120" w:after="0" w:line="240" w:lineRule="auto"/>
        <w:jc w:val="center"/>
        <w:rPr>
          <w:b/>
          <w:sz w:val="44"/>
          <w:szCs w:val="44"/>
        </w:rPr>
      </w:pPr>
      <w:r>
        <w:br w:type="page"/>
      </w:r>
    </w:p>
    <w:p w:rsidR="00DE5CB9" w:rsidRDefault="0014788B">
      <w:pPr>
        <w:spacing w:before="120" w:after="0" w:line="240" w:lineRule="auto"/>
        <w:jc w:val="center"/>
      </w:pPr>
      <w:r>
        <w:rPr>
          <w:b/>
          <w:sz w:val="44"/>
          <w:szCs w:val="44"/>
        </w:rPr>
        <w:lastRenderedPageBreak/>
        <w:t xml:space="preserve">President’s Visiting Committee Self-Study </w:t>
      </w:r>
    </w:p>
    <w:p w:rsidR="00DE5CB9" w:rsidRDefault="00DE5CB9">
      <w:pPr>
        <w:spacing w:after="0" w:line="240" w:lineRule="auto"/>
        <w:jc w:val="center"/>
      </w:pPr>
    </w:p>
    <w:p w:rsidR="00DE5CB9" w:rsidRDefault="00DE5CB9">
      <w:pPr>
        <w:spacing w:after="0" w:line="240" w:lineRule="auto"/>
        <w:jc w:val="center"/>
      </w:pPr>
    </w:p>
    <w:p w:rsidR="00DE5CB9" w:rsidRDefault="0014788B">
      <w:pPr>
        <w:spacing w:after="0"/>
      </w:pPr>
      <w:r>
        <w:rPr>
          <w:color w:val="000000"/>
          <w:highlight w:val="white"/>
        </w:rPr>
        <w:t xml:space="preserve">The President’s Visiting Committee (PVC) is advisory to the University of Alberta’s President, Provost, and senior academic administration (Department Chairs, Dean, Vice-Presidents).  The PVC assesses, advises, and offers perspectives on research/creative </w:t>
      </w:r>
      <w:r>
        <w:rPr>
          <w:color w:val="000000"/>
          <w:highlight w:val="white"/>
        </w:rPr>
        <w:t>activities in a Faculty. Members of the PVC develop deep familiarity with a Faculty’s research activities, and their insights help to shape its directions.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 xml:space="preserve"> </w:t>
      </w:r>
    </w:p>
    <w:p w:rsidR="00DE5CB9" w:rsidRDefault="0014788B">
      <w:pPr>
        <w:spacing w:after="0"/>
      </w:pPr>
      <w:r>
        <w:rPr>
          <w:b/>
          <w:color w:val="000000"/>
          <w:highlight w:val="white"/>
        </w:rPr>
        <w:t>Purpose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>The purpose of the PVC is to: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 xml:space="preserve"> 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>1.</w:t>
      </w:r>
      <w:r>
        <w:rPr>
          <w:color w:val="000000"/>
          <w:sz w:val="14"/>
          <w:szCs w:val="14"/>
          <w:highlight w:val="white"/>
        </w:rPr>
        <w:t xml:space="preserve">    </w:t>
      </w:r>
      <w:r>
        <w:rPr>
          <w:color w:val="000000"/>
          <w:highlight w:val="white"/>
        </w:rPr>
        <w:t>Evaluate the strategic direction and priorities of t</w:t>
      </w:r>
      <w:r>
        <w:rPr>
          <w:color w:val="000000"/>
          <w:highlight w:val="white"/>
        </w:rPr>
        <w:t>he Faculty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>2.</w:t>
      </w:r>
      <w:r>
        <w:rPr>
          <w:color w:val="000000"/>
          <w:sz w:val="14"/>
          <w:szCs w:val="14"/>
          <w:highlight w:val="white"/>
        </w:rPr>
        <w:t xml:space="preserve">    </w:t>
      </w:r>
      <w:r>
        <w:rPr>
          <w:color w:val="000000"/>
          <w:highlight w:val="white"/>
        </w:rPr>
        <w:t>Evaluate the quality and productivity of a Faculty’s research outcomes in realizing the aims of the University as set out in For the Public Good, the institutional strategic plan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>3.</w:t>
      </w:r>
      <w:r>
        <w:rPr>
          <w:color w:val="000000"/>
          <w:sz w:val="14"/>
          <w:szCs w:val="14"/>
          <w:highlight w:val="white"/>
        </w:rPr>
        <w:t xml:space="preserve">    </w:t>
      </w:r>
      <w:r>
        <w:rPr>
          <w:color w:val="000000"/>
          <w:highlight w:val="white"/>
        </w:rPr>
        <w:t>Assess the Faculty’s standing nationally and internati</w:t>
      </w:r>
      <w:r>
        <w:rPr>
          <w:color w:val="000000"/>
          <w:highlight w:val="white"/>
        </w:rPr>
        <w:t>onally in comparison to peer institutions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>4.</w:t>
      </w:r>
      <w:r>
        <w:rPr>
          <w:color w:val="000000"/>
          <w:sz w:val="14"/>
          <w:szCs w:val="14"/>
          <w:highlight w:val="white"/>
        </w:rPr>
        <w:t xml:space="preserve">    </w:t>
      </w:r>
      <w:r>
        <w:rPr>
          <w:color w:val="000000"/>
          <w:highlight w:val="white"/>
        </w:rPr>
        <w:t>Contribute new ideas and identify new strategies to maintain or improve quality and quantity of achievement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>5.</w:t>
      </w:r>
      <w:r>
        <w:rPr>
          <w:color w:val="000000"/>
          <w:sz w:val="14"/>
          <w:szCs w:val="14"/>
          <w:highlight w:val="white"/>
        </w:rPr>
        <w:t xml:space="preserve">    </w:t>
      </w:r>
      <w:r>
        <w:rPr>
          <w:color w:val="000000"/>
          <w:highlight w:val="white"/>
        </w:rPr>
        <w:t>Stimulate continuous planning, self-assessment and innovation</w:t>
      </w:r>
    </w:p>
    <w:p w:rsidR="00DE5CB9" w:rsidRDefault="0014788B">
      <w:pPr>
        <w:spacing w:after="0"/>
      </w:pPr>
      <w:r>
        <w:rPr>
          <w:color w:val="000000"/>
          <w:highlight w:val="white"/>
        </w:rPr>
        <w:t>6.</w:t>
      </w:r>
      <w:r>
        <w:rPr>
          <w:color w:val="000000"/>
          <w:sz w:val="14"/>
          <w:szCs w:val="14"/>
          <w:highlight w:val="white"/>
        </w:rPr>
        <w:t xml:space="preserve">    </w:t>
      </w:r>
      <w:r>
        <w:rPr>
          <w:color w:val="000000"/>
          <w:highlight w:val="white"/>
        </w:rPr>
        <w:t>Provide guidance and advic</w:t>
      </w:r>
      <w:r>
        <w:rPr>
          <w:color w:val="000000"/>
          <w:highlight w:val="white"/>
        </w:rPr>
        <w:t>e to University of Alberta leadership to support the key objectives of the Faculty and the role of the Faculty in the wider community</w:t>
      </w:r>
    </w:p>
    <w:p w:rsidR="00DE5CB9" w:rsidRDefault="00DE5CB9">
      <w:pPr>
        <w:spacing w:after="0"/>
      </w:pPr>
    </w:p>
    <w:p w:rsidR="00DE5CB9" w:rsidRDefault="00DE5CB9">
      <w:pPr>
        <w:spacing w:after="0"/>
      </w:pPr>
    </w:p>
    <w:tbl>
      <w:tblPr>
        <w:tblStyle w:val="a"/>
        <w:tblW w:w="9195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5"/>
      </w:tblGrid>
      <w:tr w:rsidR="00DE5CB9">
        <w:tc>
          <w:tcPr>
            <w:tcW w:w="9195" w:type="dxa"/>
            <w:vAlign w:val="center"/>
          </w:tcPr>
          <w:p w:rsidR="00DE5CB9" w:rsidRDefault="0014788B">
            <w:pPr>
              <w:spacing w:before="240"/>
              <w:jc w:val="center"/>
            </w:pPr>
            <w:r>
              <w:rPr>
                <w:sz w:val="24"/>
                <w:szCs w:val="24"/>
              </w:rPr>
              <w:t xml:space="preserve">Please submit your Self-Study report and appendices in electronic format. </w:t>
            </w:r>
          </w:p>
          <w:p w:rsidR="00DE5CB9" w:rsidRDefault="0014788B">
            <w:pPr>
              <w:spacing w:after="240"/>
              <w:jc w:val="center"/>
            </w:pPr>
            <w:r>
              <w:rPr>
                <w:sz w:val="24"/>
                <w:szCs w:val="24"/>
              </w:rPr>
              <w:t>The suggested total length is 50 pages, exclu</w:t>
            </w:r>
            <w:r>
              <w:rPr>
                <w:sz w:val="24"/>
                <w:szCs w:val="24"/>
              </w:rPr>
              <w:t>ding appendices.</w:t>
            </w:r>
          </w:p>
        </w:tc>
      </w:tr>
    </w:tbl>
    <w:p w:rsidR="00DE5CB9" w:rsidRDefault="00DE5CB9">
      <w:pPr>
        <w:spacing w:after="0" w:line="240" w:lineRule="auto"/>
        <w:jc w:val="center"/>
      </w:pPr>
    </w:p>
    <w:p w:rsidR="00DE5CB9" w:rsidRDefault="00DE5CB9">
      <w:pPr>
        <w:tabs>
          <w:tab w:val="center" w:pos="4680"/>
          <w:tab w:val="right" w:pos="9360"/>
        </w:tabs>
        <w:spacing w:after="0" w:line="240" w:lineRule="auto"/>
        <w:rPr>
          <w:b/>
        </w:rPr>
      </w:pPr>
    </w:p>
    <w:p w:rsidR="00DE5CB9" w:rsidRDefault="0014788B">
      <w:pPr>
        <w:tabs>
          <w:tab w:val="center" w:pos="4680"/>
          <w:tab w:val="right" w:pos="9360"/>
        </w:tabs>
        <w:spacing w:after="0" w:line="240" w:lineRule="auto"/>
      </w:pPr>
      <w:r>
        <w:rPr>
          <w:b/>
        </w:rPr>
        <w:t>Content</w:t>
      </w:r>
    </w:p>
    <w:p w:rsidR="00DE5CB9" w:rsidRDefault="0014788B">
      <w:pPr>
        <w:spacing w:after="0" w:line="240" w:lineRule="auto"/>
      </w:pPr>
      <w:r>
        <w:t>Because the PVC concerns itself with Faculty-specific strategic goals, each self-study will be unique. However, all should focus on research and scholarly activity and provide information on quality, innovativeness, global impact and competitiveness of the</w:t>
      </w:r>
      <w:r>
        <w:t xml:space="preserve"> Faculty. The PVC should be provided with enough information to make detailed recommendation on future plans of the Faculty. What follows are recommended elements for reflection. </w:t>
      </w:r>
    </w:p>
    <w:p w:rsidR="00DE5CB9" w:rsidRDefault="0014788B">
      <w:r>
        <w:br w:type="page"/>
      </w:r>
    </w:p>
    <w:p w:rsidR="00DE5CB9" w:rsidRDefault="00DE5CB9">
      <w:pPr>
        <w:tabs>
          <w:tab w:val="center" w:pos="4680"/>
          <w:tab w:val="right" w:pos="9360"/>
        </w:tabs>
        <w:spacing w:after="0" w:line="240" w:lineRule="auto"/>
      </w:pPr>
    </w:p>
    <w:tbl>
      <w:tblPr>
        <w:tblStyle w:val="a0"/>
        <w:tblW w:w="9270" w:type="dxa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>Overview Items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Executive Summary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>Faculty Overview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Faculty overview, including: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Faculty Strategic Plan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Research Strategy (if separate from Faculty Strategic Plan)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Faculty Administrative Structure and Organizational Charts (include departments, institutes, centres as appropriate)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Faculty Demographics (distribution by rank, gender)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Faculty CVs (in the format of your choice)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Facilities and Space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Prestigious Awards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National and international collaborations and partnerships (by department, institute)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Community Engagement</w:t>
            </w:r>
            <w:r>
              <w:t xml:space="preserve"> (research, teaching, outreach)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Advancement activities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t>Communications activities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External Environment Overview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color w:val="000000"/>
                <w:highlight w:val="white"/>
              </w:rPr>
              <w:t>Undergraduate and Graduate Program Review Final Reports (most recent)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color w:val="000000"/>
                <w:highlight w:val="white"/>
              </w:rPr>
              <w:t>Key topics identified by Faculty, President or Provost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BFBFBF"/>
              </w:rPr>
              <w:t>Academic</w:t>
            </w:r>
            <w:r>
              <w:rPr>
                <w:b/>
                <w:i/>
                <w:color w:val="000000"/>
                <w:shd w:val="clear" w:color="auto" w:fill="BFBFBF"/>
              </w:rPr>
              <w:t xml:space="preserve"> </w:t>
            </w:r>
            <w:r>
              <w:rPr>
                <w:b/>
                <w:color w:val="000000"/>
                <w:shd w:val="clear" w:color="auto" w:fill="BFBFBF"/>
              </w:rPr>
              <w:t>Staff/ Faculty Support and Development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Faculty Development (mentoring, workshops ) and key faculty evaluation criteria and indicators of performance.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Endowed Chairs and Professorships</w:t>
            </w:r>
          </w:p>
        </w:tc>
      </w:tr>
      <w:tr w:rsidR="00DE5CB9">
        <w:tc>
          <w:tcPr>
            <w:tcW w:w="9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Recruiting process, startup, and other support</w:t>
            </w:r>
          </w:p>
        </w:tc>
      </w:tr>
    </w:tbl>
    <w:p w:rsidR="00DE5CB9" w:rsidRDefault="0014788B">
      <w:r>
        <w:br w:type="page"/>
      </w:r>
    </w:p>
    <w:p w:rsidR="00DE5CB9" w:rsidRDefault="00DE5CB9"/>
    <w:tbl>
      <w:tblPr>
        <w:tblStyle w:val="a1"/>
        <w:tblW w:w="9150" w:type="dxa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>Research and Scholarly Funding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Researching Funding Overview (sources, success rates, national standing)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5-Year Trend in Research Revenues, including (as appropriate):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Total Research Income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Tri-council funding by program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Canada Foundation for Innovation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Networks of Centres of Excellence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Canada First Research Excellence Fund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Industry funded research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Foundation sponsored research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Provincial competitive research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Other income (describe and indicate whether it is competitive)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Please include relevant comparators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>Research and Creative Output Indicators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Bibliometrics  (using a minimum of five comparator institutions including one international)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Patents and startups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Industry relationships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Research Partnerships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Other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 xml:space="preserve">Graduate Students </w:t>
            </w:r>
            <w:r>
              <w:rPr>
                <w:b/>
                <w:shd w:val="clear" w:color="auto" w:fill="D9D9D9"/>
              </w:rPr>
              <w:t>and</w:t>
            </w:r>
            <w:r>
              <w:rPr>
                <w:b/>
                <w:color w:val="000000"/>
                <w:shd w:val="clear" w:color="auto" w:fill="D9D9D9"/>
              </w:rPr>
              <w:t xml:space="preserve"> Programs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color w:val="000000"/>
                <w:highlight w:val="white"/>
              </w:rPr>
              <w:t>Topics related to graduate students &amp; programs not covered by the Graduate Program Review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>Post-Doctoral Training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Demographics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Recruitment (including, as appropriate):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Recruitment strategy/ packages/ commitments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Academic strength and background of trainees recruited</w:t>
            </w:r>
          </w:p>
          <w:p w:rsidR="00DE5CB9" w:rsidRDefault="0014788B">
            <w:pPr>
              <w:tabs>
                <w:tab w:val="center" w:pos="4680"/>
                <w:tab w:val="right" w:pos="9360"/>
              </w:tabs>
              <w:ind w:left="68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t>Standing of universities recruited from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Funding and Awards (including levels of funding and overview of funding practices)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Professional development opportunities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Research and creative outputs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lastRenderedPageBreak/>
              <w:t>Career outcomes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>Acronyms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List of acronyms used in the portfolio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rPr>
                <w:b/>
                <w:color w:val="000000"/>
                <w:shd w:val="clear" w:color="auto" w:fill="D9D9D9"/>
              </w:rPr>
              <w:t>Appendices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Agenda for Visit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PVC Terms of Reference</w:t>
            </w:r>
          </w:p>
        </w:tc>
      </w:tr>
      <w:tr w:rsidR="00DE5CB9"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CB9" w:rsidRDefault="0014788B">
            <w:pPr>
              <w:tabs>
                <w:tab w:val="center" w:pos="4680"/>
                <w:tab w:val="right" w:pos="9360"/>
              </w:tabs>
              <w:ind w:left="-40"/>
            </w:pPr>
            <w:r>
              <w:t>Undergraduate and Graduate Program Self Studies</w:t>
            </w:r>
          </w:p>
        </w:tc>
      </w:tr>
    </w:tbl>
    <w:p w:rsidR="00DE5CB9" w:rsidRDefault="0014788B">
      <w:pPr>
        <w:tabs>
          <w:tab w:val="center" w:pos="4680"/>
          <w:tab w:val="right" w:pos="9360"/>
        </w:tabs>
        <w:spacing w:after="0" w:line="240" w:lineRule="auto"/>
      </w:pPr>
      <w:r>
        <w:rPr>
          <w:b/>
        </w:rPr>
        <w:t xml:space="preserve"> </w:t>
      </w:r>
    </w:p>
    <w:p w:rsidR="00DE5CB9" w:rsidRDefault="00DE5CB9">
      <w:pPr>
        <w:spacing w:after="0"/>
      </w:pPr>
    </w:p>
    <w:sectPr w:rsidR="00DE5CB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91" w:right="1440" w:bottom="1191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788B">
      <w:pPr>
        <w:spacing w:after="0" w:line="240" w:lineRule="auto"/>
      </w:pPr>
      <w:r>
        <w:separator/>
      </w:r>
    </w:p>
  </w:endnote>
  <w:endnote w:type="continuationSeparator" w:id="0">
    <w:p w:rsidR="00000000" w:rsidRDefault="0014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B9" w:rsidRDefault="0014788B">
    <w:pPr>
      <w:tabs>
        <w:tab w:val="center" w:pos="4680"/>
        <w:tab w:val="right" w:pos="9360"/>
      </w:tabs>
      <w:rPr>
        <w:b/>
        <w:i/>
      </w:rPr>
    </w:pPr>
    <w:r>
      <w:rPr>
        <w:i/>
      </w:rPr>
      <w:t>Last updated March 28, 2018</w:t>
    </w:r>
    <w:r>
      <w:rPr>
        <w:i/>
      </w:rPr>
      <w:tab/>
    </w:r>
    <w:r>
      <w:rPr>
        <w:i/>
      </w:rPr>
      <w:tab/>
      <w:t xml:space="preserve">Page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separate"/>
    </w:r>
    <w:r>
      <w:rPr>
        <w:b/>
        <w:i/>
        <w:noProof/>
      </w:rPr>
      <w:t>2</w:t>
    </w:r>
    <w:r>
      <w:rPr>
        <w:b/>
        <w:i/>
      </w:rPr>
      <w:fldChar w:fldCharType="end"/>
    </w:r>
    <w:r>
      <w:rPr>
        <w:i/>
      </w:rPr>
      <w:t xml:space="preserve"> of </w:t>
    </w:r>
    <w:r>
      <w:rPr>
        <w:b/>
        <w:i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B9" w:rsidRDefault="00DE5C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788B">
      <w:pPr>
        <w:spacing w:after="0" w:line="240" w:lineRule="auto"/>
      </w:pPr>
      <w:r>
        <w:separator/>
      </w:r>
    </w:p>
  </w:footnote>
  <w:footnote w:type="continuationSeparator" w:id="0">
    <w:p w:rsidR="00000000" w:rsidRDefault="0014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B9" w:rsidRDefault="0014788B">
    <w:pPr>
      <w:spacing w:before="720"/>
      <w:ind w:firstLine="720"/>
      <w:rPr>
        <w:b/>
        <w:smallCaps/>
      </w:rPr>
    </w:pPr>
    <w:bookmarkStart w:id="1" w:name="_5p2zyb5rhy40" w:colFirst="0" w:colLast="0"/>
    <w:bookmarkEnd w:id="1"/>
    <w:r>
      <w:rPr>
        <w:b/>
        <w:smallCaps/>
      </w:rPr>
      <w:t xml:space="preserve"> </w:t>
    </w:r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533400</wp:posOffset>
          </wp:positionV>
          <wp:extent cx="1938338" cy="485775"/>
          <wp:effectExtent l="0" t="0" r="0" b="0"/>
          <wp:wrapSquare wrapText="bothSides" distT="57150" distB="57150" distL="57150" distR="57150"/>
          <wp:docPr id="3" name="image3.png" descr="UA-1C-SOLID-LH-L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UA-1C-SOLID-LH-L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338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5CB9" w:rsidRDefault="0014788B">
    <w:pPr>
      <w:spacing w:before="720"/>
      <w:ind w:firstLine="720"/>
    </w:pPr>
    <w:bookmarkStart w:id="2" w:name="_30j0zll" w:colFirst="0" w:colLast="0"/>
    <w:bookmarkEnd w:id="2"/>
    <w:r>
      <w:rPr>
        <w:b/>
        <w:smallCaps/>
      </w:rPr>
      <w:tab/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209550</wp:posOffset>
              </wp:positionH>
              <wp:positionV relativeFrom="paragraph">
                <wp:posOffset>533400</wp:posOffset>
              </wp:positionV>
              <wp:extent cx="5848350" cy="1862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224388" y="3779850"/>
                        <a:ext cx="5959200" cy="3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</wp:posOffset>
              </wp:positionH>
              <wp:positionV relativeFrom="paragraph">
                <wp:posOffset>533400</wp:posOffset>
              </wp:positionV>
              <wp:extent cx="5848350" cy="1862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B9" w:rsidRDefault="0014788B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19051</wp:posOffset>
              </wp:positionH>
              <wp:positionV relativeFrom="paragraph">
                <wp:posOffset>867537</wp:posOffset>
              </wp:positionV>
              <wp:extent cx="5848350" cy="18625"/>
              <wp:effectExtent l="0" t="0" r="0" b="0"/>
              <wp:wrapSquare wrapText="bothSides" distT="0" distB="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224388" y="3779850"/>
                        <a:ext cx="5959200" cy="3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867537</wp:posOffset>
              </wp:positionV>
              <wp:extent cx="5848350" cy="1862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57150" distB="57150" distL="57150" distR="57150" simplePos="0" relativeHeight="251661312" behindDoc="0" locked="0" layoutInCell="1" hidden="0" allowOverlap="1">
          <wp:simplePos x="0" y="0"/>
          <wp:positionH relativeFrom="column">
            <wp:posOffset>85725</wp:posOffset>
          </wp:positionH>
          <wp:positionV relativeFrom="paragraph">
            <wp:posOffset>257175</wp:posOffset>
          </wp:positionV>
          <wp:extent cx="1938338" cy="485775"/>
          <wp:effectExtent l="0" t="0" r="0" b="0"/>
          <wp:wrapSquare wrapText="bothSides" distT="57150" distB="57150" distL="57150" distR="57150"/>
          <wp:docPr id="4" name="image3.png" descr="UA-1C-SOLID-LH-L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UA-1C-SOLID-LH-L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338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9"/>
    <w:rsid w:val="0014788B"/>
    <w:rsid w:val="00D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2FE14-5129-46EF-AFBB-486898E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1" w:lineRule="auto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4"/>
    </w:pPr>
    <w:rPr>
      <w:rFonts w:ascii="Cambria" w:eastAsia="Cambria" w:hAnsi="Cambria" w:cs="Cambria"/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71" w:lineRule="auto"/>
      <w:outlineLvl w:val="5"/>
    </w:pPr>
    <w:rPr>
      <w:rFonts w:ascii="Cambria" w:eastAsia="Cambria" w:hAnsi="Cambria" w:cs="Cambria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mbria" w:eastAsia="Cambria" w:hAnsi="Cambria" w:cs="Cambria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0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Lambe, Jenny</dc:creator>
  <cp:lastModifiedBy>jmlambe</cp:lastModifiedBy>
  <cp:revision>2</cp:revision>
  <dcterms:created xsi:type="dcterms:W3CDTF">2019-12-13T21:29:00Z</dcterms:created>
  <dcterms:modified xsi:type="dcterms:W3CDTF">2019-12-13T21:29:00Z</dcterms:modified>
</cp:coreProperties>
</file>