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87C" w:rsidRDefault="003D787C">
      <w:pPr>
        <w:pStyle w:val="Title"/>
        <w:spacing w:line="240" w:lineRule="auto"/>
        <w:contextualSpacing w:val="0"/>
      </w:pPr>
      <w:bookmarkStart w:id="0" w:name="_p5udz2uznbvo" w:colFirst="0" w:colLast="0"/>
      <w:bookmarkEnd w:id="0"/>
    </w:p>
    <w:p w:rsidR="003D787C" w:rsidRDefault="00116E0C">
      <w:pPr>
        <w:pStyle w:val="Title"/>
        <w:spacing w:line="240" w:lineRule="auto"/>
        <w:contextualSpacing w:val="0"/>
      </w:pPr>
      <w:bookmarkStart w:id="1" w:name="_9pyjmwi7vgkd" w:colFirst="0" w:colLast="0"/>
      <w:bookmarkEnd w:id="1"/>
      <w:r>
        <w:t>Department ID (deptID) Management</w:t>
      </w:r>
    </w:p>
    <w:p w:rsidR="003D787C" w:rsidRDefault="003D787C">
      <w:pPr>
        <w:spacing w:line="240" w:lineRule="auto"/>
      </w:pPr>
    </w:p>
    <w:p w:rsidR="003D787C" w:rsidRDefault="003D787C">
      <w:pPr>
        <w:spacing w:line="240" w:lineRule="auto"/>
      </w:pPr>
    </w:p>
    <w:p w:rsidR="003D787C" w:rsidRDefault="00116E0C">
      <w:pPr>
        <w:pStyle w:val="Heading1"/>
        <w:spacing w:line="240" w:lineRule="auto"/>
        <w:contextualSpacing w:val="0"/>
      </w:pPr>
      <w:bookmarkStart w:id="2" w:name="_wbop2ug6som4" w:colFirst="0" w:colLast="0"/>
      <w:bookmarkEnd w:id="2"/>
      <w:r>
        <w:t>Purpose</w:t>
      </w:r>
    </w:p>
    <w:p w:rsidR="003D787C" w:rsidRDefault="003D787C">
      <w:pPr>
        <w:spacing w:line="240" w:lineRule="auto"/>
        <w:rPr>
          <w:b/>
        </w:rPr>
      </w:pPr>
    </w:p>
    <w:p w:rsidR="003D787C" w:rsidRDefault="00116E0C">
      <w:pPr>
        <w:spacing w:line="240" w:lineRule="auto"/>
      </w:pPr>
      <w:r>
        <w:t>This document will provide an overview of how the University of Alberta uses deptIDs within the PeopleSoft applications. As well, this document will provide an understanding of how deptIDs are managed and maintained.</w:t>
      </w:r>
    </w:p>
    <w:p w:rsidR="003D787C" w:rsidRDefault="00116E0C">
      <w:pPr>
        <w:spacing w:line="240" w:lineRule="auto"/>
        <w:rPr>
          <w:b/>
        </w:rPr>
      </w:pPr>
      <w:r>
        <w:rPr>
          <w:b/>
        </w:rPr>
        <w:t xml:space="preserve"> </w:t>
      </w:r>
    </w:p>
    <w:p w:rsidR="003D787C" w:rsidRDefault="003D787C">
      <w:pPr>
        <w:spacing w:line="240" w:lineRule="auto"/>
        <w:rPr>
          <w:b/>
        </w:rPr>
      </w:pPr>
    </w:p>
    <w:p w:rsidR="003D787C" w:rsidRDefault="00116E0C">
      <w:pPr>
        <w:pStyle w:val="Heading1"/>
        <w:spacing w:line="240" w:lineRule="auto"/>
        <w:contextualSpacing w:val="0"/>
      </w:pPr>
      <w:bookmarkStart w:id="3" w:name="_nu2r7ki4ka40" w:colFirst="0" w:colLast="0"/>
      <w:bookmarkEnd w:id="3"/>
      <w:r>
        <w:t xml:space="preserve">Purpose of deptIDs </w:t>
      </w:r>
    </w:p>
    <w:p w:rsidR="003D787C" w:rsidRDefault="003D787C">
      <w:pPr>
        <w:spacing w:line="240" w:lineRule="auto"/>
        <w:rPr>
          <w:b/>
        </w:rPr>
      </w:pPr>
    </w:p>
    <w:p w:rsidR="003D787C" w:rsidRDefault="00116E0C">
      <w:pPr>
        <w:spacing w:line="240" w:lineRule="auto"/>
      </w:pPr>
      <w:r>
        <w:t>DeptIDs reflect the University’s organizational hierarchy. DeptIDs are managed and maintained within the 3 PeopleSoft applications:</w:t>
      </w:r>
    </w:p>
    <w:p w:rsidR="003D787C" w:rsidRDefault="003D787C">
      <w:pPr>
        <w:spacing w:line="240" w:lineRule="auto"/>
        <w:ind w:left="360"/>
      </w:pPr>
    </w:p>
    <w:p w:rsidR="003D787C" w:rsidRDefault="00116E0C">
      <w:pPr>
        <w:numPr>
          <w:ilvl w:val="0"/>
          <w:numId w:val="3"/>
        </w:numPr>
        <w:spacing w:line="240" w:lineRule="auto"/>
        <w:ind w:hanging="360"/>
        <w:contextualSpacing/>
      </w:pPr>
      <w:r>
        <w:t>Campus Solutions (CS)</w:t>
      </w:r>
    </w:p>
    <w:p w:rsidR="003D787C" w:rsidRDefault="00116E0C">
      <w:pPr>
        <w:numPr>
          <w:ilvl w:val="0"/>
          <w:numId w:val="3"/>
        </w:numPr>
        <w:spacing w:line="240" w:lineRule="auto"/>
        <w:ind w:hanging="360"/>
        <w:contextualSpacing/>
      </w:pPr>
      <w:r>
        <w:t>Financials</w:t>
      </w:r>
    </w:p>
    <w:p w:rsidR="003D787C" w:rsidRDefault="00116E0C">
      <w:pPr>
        <w:numPr>
          <w:ilvl w:val="0"/>
          <w:numId w:val="3"/>
        </w:numPr>
        <w:spacing w:line="240" w:lineRule="auto"/>
        <w:ind w:hanging="360"/>
        <w:contextualSpacing/>
      </w:pPr>
      <w:r>
        <w:t>Human Capital Management (HCM)</w:t>
      </w:r>
    </w:p>
    <w:p w:rsidR="003D787C" w:rsidRDefault="003D787C">
      <w:pPr>
        <w:spacing w:line="240" w:lineRule="auto"/>
      </w:pPr>
    </w:p>
    <w:p w:rsidR="003D787C" w:rsidRDefault="00116E0C">
      <w:r>
        <w:t xml:space="preserve">All three PeopleSoft applications are synced together with HCM being the source or master record.  This means changes made in HCM are copied to Financials and CS. </w:t>
      </w:r>
    </w:p>
    <w:p w:rsidR="003D787C" w:rsidRDefault="00116E0C">
      <w:pPr>
        <w:pStyle w:val="Heading2"/>
        <w:spacing w:line="240" w:lineRule="auto"/>
        <w:contextualSpacing w:val="0"/>
      </w:pPr>
      <w:bookmarkStart w:id="4" w:name="_kzy8eytps85c" w:colFirst="0" w:colLast="0"/>
      <w:bookmarkEnd w:id="4"/>
      <w:r>
        <w:t>DeptID for Chart of Accounts</w:t>
      </w:r>
    </w:p>
    <w:p w:rsidR="003D787C" w:rsidRDefault="00116E0C">
      <w:pPr>
        <w:spacing w:line="240" w:lineRule="auto"/>
      </w:pPr>
      <w:r>
        <w:t>DeptIDs are a systematic representation of the University’s organizational hierarchy and therefore represent levels of accountability and budgetary control. A deptID has ongoing activity (revenue and/or expenditure) and will have a corresponding budget plan.</w:t>
      </w:r>
    </w:p>
    <w:p w:rsidR="003D787C" w:rsidRDefault="00116E0C">
      <w:pPr>
        <w:pStyle w:val="Heading2"/>
        <w:spacing w:line="240" w:lineRule="auto"/>
        <w:contextualSpacing w:val="0"/>
      </w:pPr>
      <w:bookmarkStart w:id="5" w:name="_r44gnr87baoa" w:colFirst="0" w:colLast="0"/>
      <w:bookmarkEnd w:id="5"/>
      <w:r>
        <w:t>DeptIDs used in Organizational Structure</w:t>
      </w:r>
    </w:p>
    <w:p w:rsidR="003D787C" w:rsidRDefault="00116E0C">
      <w:pPr>
        <w:spacing w:line="240" w:lineRule="auto"/>
      </w:pPr>
      <w:r>
        <w:t xml:space="preserve">In HCM and CS, deptIDs are used to manage people. In HCM the deptID forms part of the Job or POI (Person of Interest) record for a person. HCM also uses deptIDs to control security access. Ensuring appropriate security access to sensitive information, such as salary and personal information, is critical to the University.  </w:t>
      </w:r>
    </w:p>
    <w:p w:rsidR="003D787C" w:rsidRDefault="003D787C">
      <w:pPr>
        <w:spacing w:line="240" w:lineRule="auto"/>
      </w:pPr>
    </w:p>
    <w:p w:rsidR="003D787C" w:rsidRDefault="00116E0C">
      <w:pPr>
        <w:spacing w:line="240" w:lineRule="auto"/>
      </w:pPr>
      <w:r>
        <w:t>In addition, HCM uses deptIDs to produce legislated reports such as Statistics Canada, Federal Contractors Reports, etc.</w:t>
      </w:r>
    </w:p>
    <w:p w:rsidR="003D787C" w:rsidRDefault="003D787C">
      <w:pPr>
        <w:spacing w:line="240" w:lineRule="auto"/>
      </w:pPr>
    </w:p>
    <w:p w:rsidR="003D787C" w:rsidRDefault="003D787C">
      <w:pPr>
        <w:spacing w:line="240" w:lineRule="auto"/>
      </w:pPr>
    </w:p>
    <w:p w:rsidR="003D787C" w:rsidRDefault="003D787C">
      <w:pPr>
        <w:pStyle w:val="Heading1"/>
        <w:spacing w:line="240" w:lineRule="auto"/>
        <w:contextualSpacing w:val="0"/>
      </w:pPr>
      <w:bookmarkStart w:id="6" w:name="_namahob8zbmn" w:colFirst="0" w:colLast="0"/>
      <w:bookmarkEnd w:id="6"/>
    </w:p>
    <w:p w:rsidR="003D787C" w:rsidRDefault="00116E0C">
      <w:pPr>
        <w:pStyle w:val="Heading1"/>
        <w:spacing w:line="240" w:lineRule="auto"/>
        <w:contextualSpacing w:val="0"/>
      </w:pPr>
      <w:bookmarkStart w:id="7" w:name="_7195ym29azsn" w:colFirst="0" w:colLast="0"/>
      <w:bookmarkEnd w:id="7"/>
      <w:r>
        <w:br w:type="page"/>
      </w:r>
    </w:p>
    <w:p w:rsidR="003D787C" w:rsidRDefault="00116E0C">
      <w:pPr>
        <w:pStyle w:val="Heading1"/>
        <w:spacing w:line="240" w:lineRule="auto"/>
        <w:contextualSpacing w:val="0"/>
      </w:pPr>
      <w:bookmarkStart w:id="8" w:name="_6w9eqm4996oa" w:colFirst="0" w:colLast="0"/>
      <w:bookmarkEnd w:id="8"/>
      <w:r>
        <w:lastRenderedPageBreak/>
        <w:t>Attributes of a DeptID</w:t>
      </w:r>
    </w:p>
    <w:p w:rsidR="003D787C" w:rsidRDefault="003D787C">
      <w:pPr>
        <w:spacing w:line="240" w:lineRule="auto"/>
      </w:pPr>
    </w:p>
    <w:p w:rsidR="003D787C" w:rsidRDefault="00116E0C">
      <w:pPr>
        <w:spacing w:line="240" w:lineRule="auto"/>
      </w:pPr>
      <w:r>
        <w:t>All deptIDs must follow a specific structure to ensure consistency. It is important to understand the attributes of a deptID when requesting a new deptID or requesting changes to an existing deptID.</w:t>
      </w:r>
    </w:p>
    <w:p w:rsidR="003D787C" w:rsidRDefault="003D787C">
      <w:pPr>
        <w:spacing w:line="240" w:lineRule="auto"/>
      </w:pPr>
    </w:p>
    <w:tbl>
      <w:tblPr>
        <w:tblStyle w:val="a"/>
        <w:tblW w:w="9375" w:type="dxa"/>
        <w:tblInd w:w="-15" w:type="dxa"/>
        <w:tblBorders>
          <w:top w:val="single" w:sz="8" w:space="0" w:color="548235"/>
          <w:left w:val="single" w:sz="8" w:space="0" w:color="548235"/>
          <w:bottom w:val="single" w:sz="8" w:space="0" w:color="548235"/>
          <w:right w:val="single" w:sz="8" w:space="0" w:color="548235"/>
          <w:insideH w:val="single" w:sz="8" w:space="0" w:color="548235"/>
          <w:insideV w:val="single" w:sz="8" w:space="0" w:color="548235"/>
        </w:tblBorders>
        <w:tblLayout w:type="fixed"/>
        <w:tblLook w:val="0600" w:firstRow="0" w:lastRow="0" w:firstColumn="0" w:lastColumn="0" w:noHBand="1" w:noVBand="1"/>
      </w:tblPr>
      <w:tblGrid>
        <w:gridCol w:w="2100"/>
        <w:gridCol w:w="7275"/>
      </w:tblGrid>
      <w:tr w:rsidR="003D787C">
        <w:trPr>
          <w:trHeight w:val="440"/>
        </w:trPr>
        <w:tc>
          <w:tcPr>
            <w:tcW w:w="2100" w:type="dxa"/>
            <w:shd w:val="clear" w:color="auto" w:fill="70AD47"/>
            <w:tcMar>
              <w:top w:w="100" w:type="dxa"/>
              <w:left w:w="100" w:type="dxa"/>
              <w:bottom w:w="100" w:type="dxa"/>
              <w:right w:w="100" w:type="dxa"/>
            </w:tcMar>
          </w:tcPr>
          <w:p w:rsidR="003D787C" w:rsidRDefault="00116E0C">
            <w:pPr>
              <w:widowControl w:val="0"/>
              <w:spacing w:line="240" w:lineRule="auto"/>
              <w:rPr>
                <w:b/>
              </w:rPr>
            </w:pPr>
            <w:r>
              <w:rPr>
                <w:b/>
              </w:rPr>
              <w:t>Attribute</w:t>
            </w:r>
          </w:p>
        </w:tc>
        <w:tc>
          <w:tcPr>
            <w:tcW w:w="7275" w:type="dxa"/>
            <w:shd w:val="clear" w:color="auto" w:fill="70AD47"/>
            <w:tcMar>
              <w:top w:w="100" w:type="dxa"/>
              <w:left w:w="100" w:type="dxa"/>
              <w:bottom w:w="100" w:type="dxa"/>
              <w:right w:w="100" w:type="dxa"/>
            </w:tcMar>
          </w:tcPr>
          <w:p w:rsidR="003D787C" w:rsidRDefault="00116E0C">
            <w:pPr>
              <w:widowControl w:val="0"/>
              <w:spacing w:line="240" w:lineRule="auto"/>
              <w:rPr>
                <w:b/>
              </w:rPr>
            </w:pPr>
            <w:r>
              <w:rPr>
                <w:b/>
              </w:rPr>
              <w:t>Description</w:t>
            </w:r>
          </w:p>
        </w:tc>
      </w:tr>
      <w:tr w:rsidR="003D787C">
        <w:tc>
          <w:tcPr>
            <w:tcW w:w="2100" w:type="dxa"/>
            <w:tcMar>
              <w:top w:w="100" w:type="dxa"/>
              <w:left w:w="100" w:type="dxa"/>
              <w:bottom w:w="100" w:type="dxa"/>
              <w:right w:w="100" w:type="dxa"/>
            </w:tcMar>
          </w:tcPr>
          <w:p w:rsidR="003D787C" w:rsidRDefault="00116E0C">
            <w:pPr>
              <w:spacing w:line="240" w:lineRule="auto"/>
            </w:pPr>
            <w:r>
              <w:t>DeptID</w:t>
            </w:r>
          </w:p>
        </w:tc>
        <w:tc>
          <w:tcPr>
            <w:tcW w:w="7275" w:type="dxa"/>
            <w:tcMar>
              <w:top w:w="100" w:type="dxa"/>
              <w:left w:w="100" w:type="dxa"/>
              <w:bottom w:w="100" w:type="dxa"/>
              <w:right w:w="100" w:type="dxa"/>
            </w:tcMar>
          </w:tcPr>
          <w:p w:rsidR="003D787C" w:rsidRDefault="00116E0C">
            <w:pPr>
              <w:widowControl w:val="0"/>
              <w:spacing w:line="240" w:lineRule="auto"/>
            </w:pPr>
            <w:r>
              <w:t>6 digit number manually assigned by the business area</w:t>
            </w:r>
          </w:p>
        </w:tc>
      </w:tr>
      <w:tr w:rsidR="003D787C">
        <w:tc>
          <w:tcPr>
            <w:tcW w:w="2100" w:type="dxa"/>
            <w:tcMar>
              <w:top w:w="100" w:type="dxa"/>
              <w:left w:w="100" w:type="dxa"/>
              <w:bottom w:w="100" w:type="dxa"/>
              <w:right w:w="100" w:type="dxa"/>
            </w:tcMar>
          </w:tcPr>
          <w:p w:rsidR="003D787C" w:rsidRDefault="00116E0C">
            <w:pPr>
              <w:widowControl w:val="0"/>
              <w:spacing w:line="240" w:lineRule="auto"/>
            </w:pPr>
            <w:r>
              <w:t>Effective Date</w:t>
            </w:r>
          </w:p>
        </w:tc>
        <w:tc>
          <w:tcPr>
            <w:tcW w:w="7275" w:type="dxa"/>
            <w:tcMar>
              <w:top w:w="100" w:type="dxa"/>
              <w:left w:w="100" w:type="dxa"/>
              <w:bottom w:w="100" w:type="dxa"/>
              <w:right w:w="100" w:type="dxa"/>
            </w:tcMar>
          </w:tcPr>
          <w:p w:rsidR="003D787C" w:rsidRDefault="00116E0C">
            <w:pPr>
              <w:widowControl w:val="0"/>
              <w:spacing w:line="240" w:lineRule="auto"/>
            </w:pPr>
            <w:r>
              <w:t>Date the deptID was created or the date that changes were made to an existing deptID</w:t>
            </w:r>
          </w:p>
        </w:tc>
      </w:tr>
      <w:tr w:rsidR="003D787C">
        <w:tc>
          <w:tcPr>
            <w:tcW w:w="2100" w:type="dxa"/>
            <w:tcMar>
              <w:top w:w="100" w:type="dxa"/>
              <w:left w:w="100" w:type="dxa"/>
              <w:bottom w:w="100" w:type="dxa"/>
              <w:right w:w="100" w:type="dxa"/>
            </w:tcMar>
          </w:tcPr>
          <w:p w:rsidR="003D787C" w:rsidRDefault="00116E0C">
            <w:pPr>
              <w:widowControl w:val="0"/>
              <w:spacing w:line="240" w:lineRule="auto"/>
            </w:pPr>
            <w:r>
              <w:t>Status</w:t>
            </w:r>
          </w:p>
        </w:tc>
        <w:tc>
          <w:tcPr>
            <w:tcW w:w="7275" w:type="dxa"/>
            <w:tcMar>
              <w:top w:w="100" w:type="dxa"/>
              <w:left w:w="100" w:type="dxa"/>
              <w:bottom w:w="100" w:type="dxa"/>
              <w:right w:w="100" w:type="dxa"/>
            </w:tcMar>
          </w:tcPr>
          <w:p w:rsidR="003D787C" w:rsidRDefault="00116E0C">
            <w:pPr>
              <w:widowControl w:val="0"/>
              <w:spacing w:line="240" w:lineRule="auto"/>
            </w:pPr>
            <w:r>
              <w:t>A - Active;  I - Inactive</w:t>
            </w:r>
          </w:p>
        </w:tc>
      </w:tr>
      <w:tr w:rsidR="003D787C">
        <w:tc>
          <w:tcPr>
            <w:tcW w:w="2100" w:type="dxa"/>
            <w:tcMar>
              <w:top w:w="100" w:type="dxa"/>
              <w:left w:w="100" w:type="dxa"/>
              <w:bottom w:w="100" w:type="dxa"/>
              <w:right w:w="100" w:type="dxa"/>
            </w:tcMar>
          </w:tcPr>
          <w:p w:rsidR="003D787C" w:rsidRDefault="00116E0C">
            <w:pPr>
              <w:widowControl w:val="0"/>
              <w:spacing w:line="240" w:lineRule="auto"/>
            </w:pPr>
            <w:r>
              <w:t>Department Name (DeptID Name)</w:t>
            </w:r>
          </w:p>
        </w:tc>
        <w:tc>
          <w:tcPr>
            <w:tcW w:w="7275" w:type="dxa"/>
            <w:tcMar>
              <w:top w:w="100" w:type="dxa"/>
              <w:left w:w="100" w:type="dxa"/>
              <w:bottom w:w="100" w:type="dxa"/>
              <w:right w:w="100" w:type="dxa"/>
            </w:tcMar>
          </w:tcPr>
          <w:p w:rsidR="003D787C" w:rsidRDefault="00116E0C">
            <w:pPr>
              <w:widowControl w:val="0"/>
              <w:spacing w:line="240" w:lineRule="auto"/>
            </w:pPr>
            <w:r>
              <w:t>30 Characters</w:t>
            </w:r>
          </w:p>
          <w:p w:rsidR="003D787C" w:rsidRDefault="00116E0C">
            <w:pPr>
              <w:widowControl w:val="0"/>
              <w:spacing w:line="240" w:lineRule="auto"/>
            </w:pPr>
            <w:r>
              <w:t>This name is reflected in financial reports.</w:t>
            </w:r>
          </w:p>
          <w:p w:rsidR="003D787C" w:rsidRDefault="00116E0C">
            <w:pPr>
              <w:widowControl w:val="0"/>
              <w:spacing w:line="240" w:lineRule="auto"/>
            </w:pPr>
            <w:r>
              <w:t>*Refer to the section regarding Naming Convention Standards within this document</w:t>
            </w:r>
          </w:p>
        </w:tc>
      </w:tr>
      <w:tr w:rsidR="003D787C">
        <w:tc>
          <w:tcPr>
            <w:tcW w:w="2100" w:type="dxa"/>
            <w:tcMar>
              <w:top w:w="100" w:type="dxa"/>
              <w:left w:w="100" w:type="dxa"/>
              <w:bottom w:w="100" w:type="dxa"/>
              <w:right w:w="100" w:type="dxa"/>
            </w:tcMar>
          </w:tcPr>
          <w:p w:rsidR="003D787C" w:rsidRDefault="00116E0C">
            <w:pPr>
              <w:widowControl w:val="0"/>
              <w:spacing w:line="240" w:lineRule="auto"/>
            </w:pPr>
            <w:r>
              <w:t>Long Name</w:t>
            </w:r>
          </w:p>
        </w:tc>
        <w:tc>
          <w:tcPr>
            <w:tcW w:w="7275" w:type="dxa"/>
            <w:tcMar>
              <w:top w:w="100" w:type="dxa"/>
              <w:left w:w="100" w:type="dxa"/>
              <w:bottom w:w="100" w:type="dxa"/>
              <w:right w:w="100" w:type="dxa"/>
            </w:tcMar>
          </w:tcPr>
          <w:p w:rsidR="003D787C" w:rsidRDefault="00116E0C">
            <w:pPr>
              <w:widowControl w:val="0"/>
              <w:spacing w:line="240" w:lineRule="auto"/>
            </w:pPr>
            <w:r>
              <w:t>100 Characters</w:t>
            </w:r>
          </w:p>
          <w:p w:rsidR="003D787C" w:rsidRDefault="00116E0C">
            <w:pPr>
              <w:widowControl w:val="0"/>
              <w:spacing w:line="240" w:lineRule="auto"/>
            </w:pPr>
            <w:r>
              <w:t>This name is reflected on some HCM reports and other HR related applications.</w:t>
            </w:r>
          </w:p>
        </w:tc>
      </w:tr>
      <w:tr w:rsidR="003D787C">
        <w:tc>
          <w:tcPr>
            <w:tcW w:w="2100" w:type="dxa"/>
            <w:tcMar>
              <w:top w:w="100" w:type="dxa"/>
              <w:left w:w="100" w:type="dxa"/>
              <w:bottom w:w="100" w:type="dxa"/>
              <w:right w:w="100" w:type="dxa"/>
            </w:tcMar>
          </w:tcPr>
          <w:p w:rsidR="003D787C" w:rsidRDefault="00116E0C">
            <w:pPr>
              <w:widowControl w:val="0"/>
              <w:spacing w:line="240" w:lineRule="auto"/>
            </w:pPr>
            <w:r>
              <w:t>Manager ID</w:t>
            </w:r>
          </w:p>
        </w:tc>
        <w:tc>
          <w:tcPr>
            <w:tcW w:w="7275" w:type="dxa"/>
            <w:tcMar>
              <w:top w:w="100" w:type="dxa"/>
              <w:left w:w="100" w:type="dxa"/>
              <w:bottom w:w="100" w:type="dxa"/>
              <w:right w:w="100" w:type="dxa"/>
            </w:tcMar>
          </w:tcPr>
          <w:p w:rsidR="003D787C" w:rsidRDefault="00116E0C">
            <w:pPr>
              <w:widowControl w:val="0"/>
              <w:spacing w:line="240" w:lineRule="auto"/>
            </w:pPr>
            <w:r>
              <w:t>7 Characters</w:t>
            </w:r>
          </w:p>
          <w:p w:rsidR="003D787C" w:rsidRDefault="00116E0C">
            <w:pPr>
              <w:widowControl w:val="0"/>
              <w:spacing w:line="240" w:lineRule="auto"/>
            </w:pPr>
            <w:r>
              <w:t>The employee must be active as of the Effective Date.</w:t>
            </w:r>
          </w:p>
          <w:p w:rsidR="00F25D2A" w:rsidRDefault="00F25D2A">
            <w:pPr>
              <w:widowControl w:val="0"/>
              <w:spacing w:line="240" w:lineRule="auto"/>
            </w:pPr>
            <w:r>
              <w:t>Manager ID identifies the budget owner (e.g. Dean, Chair, Director)</w:t>
            </w:r>
          </w:p>
        </w:tc>
      </w:tr>
    </w:tbl>
    <w:p w:rsidR="003D787C" w:rsidRDefault="00116E0C">
      <w:pPr>
        <w:pStyle w:val="Heading2"/>
        <w:spacing w:line="240" w:lineRule="auto"/>
        <w:contextualSpacing w:val="0"/>
      </w:pPr>
      <w:bookmarkStart w:id="9" w:name="_l50j8b2qajrh" w:colFirst="0" w:colLast="0"/>
      <w:bookmarkEnd w:id="9"/>
      <w:r>
        <w:t>Effective Date</w:t>
      </w:r>
    </w:p>
    <w:p w:rsidR="003D787C" w:rsidRDefault="00116E0C">
      <w:pPr>
        <w:spacing w:line="240" w:lineRule="auto"/>
      </w:pPr>
      <w:r>
        <w:t xml:space="preserve">To preserve historical data PeopleSoft uses effective dates. </w:t>
      </w:r>
    </w:p>
    <w:p w:rsidR="003D787C" w:rsidRDefault="003D787C">
      <w:pPr>
        <w:spacing w:line="240" w:lineRule="auto"/>
      </w:pPr>
    </w:p>
    <w:p w:rsidR="003D787C" w:rsidRDefault="00116E0C">
      <w:pPr>
        <w:spacing w:line="240" w:lineRule="auto"/>
      </w:pPr>
      <w:r>
        <w:t xml:space="preserve">New deptIDs </w:t>
      </w:r>
    </w:p>
    <w:p w:rsidR="003D787C" w:rsidRDefault="00116E0C">
      <w:pPr>
        <w:numPr>
          <w:ilvl w:val="0"/>
          <w:numId w:val="2"/>
        </w:numPr>
        <w:spacing w:line="240" w:lineRule="auto"/>
        <w:ind w:hanging="360"/>
        <w:contextualSpacing/>
      </w:pPr>
      <w:r>
        <w:t xml:space="preserve">Effective Date = April 1 of the Fiscal Year </w:t>
      </w:r>
    </w:p>
    <w:p w:rsidR="003D787C" w:rsidRDefault="003D787C">
      <w:pPr>
        <w:spacing w:line="240" w:lineRule="auto"/>
      </w:pPr>
    </w:p>
    <w:p w:rsidR="003D787C" w:rsidRDefault="00116E0C">
      <w:pPr>
        <w:spacing w:line="240" w:lineRule="auto"/>
      </w:pPr>
      <w:r>
        <w:t xml:space="preserve">Changes to deptIDs </w:t>
      </w:r>
    </w:p>
    <w:p w:rsidR="003D787C" w:rsidRDefault="00116E0C">
      <w:pPr>
        <w:numPr>
          <w:ilvl w:val="0"/>
          <w:numId w:val="2"/>
        </w:numPr>
        <w:spacing w:line="240" w:lineRule="auto"/>
        <w:ind w:hanging="360"/>
        <w:contextualSpacing/>
      </w:pPr>
      <w:r>
        <w:t xml:space="preserve">Effective Date = 1st of the Month </w:t>
      </w:r>
    </w:p>
    <w:p w:rsidR="003D787C" w:rsidRDefault="00116E0C">
      <w:pPr>
        <w:numPr>
          <w:ilvl w:val="0"/>
          <w:numId w:val="2"/>
        </w:numPr>
        <w:spacing w:line="240" w:lineRule="auto"/>
        <w:ind w:hanging="360"/>
        <w:contextualSpacing/>
      </w:pPr>
      <w:r>
        <w:t>Changes could be requested for Name, Department Manager ID, Status, Location, Tax and Statistics Canada information.</w:t>
      </w:r>
    </w:p>
    <w:p w:rsidR="003D787C" w:rsidRDefault="00116E0C">
      <w:pPr>
        <w:pStyle w:val="Heading2"/>
        <w:spacing w:line="240" w:lineRule="auto"/>
        <w:contextualSpacing w:val="0"/>
      </w:pPr>
      <w:bookmarkStart w:id="10" w:name="_o3k8mzr8oz6q" w:colFirst="0" w:colLast="0"/>
      <w:bookmarkEnd w:id="10"/>
      <w:r>
        <w:t>DeptID Naming Convention Standard</w:t>
      </w:r>
    </w:p>
    <w:p w:rsidR="003D787C" w:rsidRDefault="00116E0C">
      <w:r>
        <w:t>Naming deptIDs/faculties consistently, logically and in a standardized way will remove ambiguity and or duplicates across systems. Naming conventions mainly facilitate better identification/recognition, and also lend to meaningful descriptions on reports.</w:t>
      </w:r>
    </w:p>
    <w:p w:rsidR="003D787C" w:rsidRDefault="003D787C"/>
    <w:p w:rsidR="003D787C" w:rsidRDefault="00116E0C">
      <w:r>
        <w:t>A common set of rules and standards have been created and apply to the naming of deptIDs/faculties for all University units, whether they are administrative or academic units.</w:t>
      </w:r>
    </w:p>
    <w:p w:rsidR="003D787C" w:rsidRDefault="003D787C">
      <w:pPr>
        <w:spacing w:line="240" w:lineRule="auto"/>
        <w:rPr>
          <w:rFonts w:ascii="Calibri" w:eastAsia="Calibri" w:hAnsi="Calibri" w:cs="Calibri"/>
        </w:rPr>
      </w:pPr>
    </w:p>
    <w:p w:rsidR="003D787C" w:rsidRDefault="003D787C">
      <w:pPr>
        <w:spacing w:line="240" w:lineRule="auto"/>
        <w:rPr>
          <w:b/>
        </w:rPr>
      </w:pPr>
    </w:p>
    <w:p w:rsidR="003D787C" w:rsidRDefault="003D787C">
      <w:pPr>
        <w:spacing w:line="240" w:lineRule="auto"/>
        <w:rPr>
          <w:b/>
        </w:rPr>
      </w:pPr>
    </w:p>
    <w:p w:rsidR="003D787C" w:rsidRDefault="003D787C">
      <w:pPr>
        <w:spacing w:line="240" w:lineRule="auto"/>
        <w:rPr>
          <w:b/>
        </w:rPr>
      </w:pPr>
    </w:p>
    <w:p w:rsidR="003D787C" w:rsidRDefault="00116E0C">
      <w:pPr>
        <w:spacing w:line="240" w:lineRule="auto"/>
        <w:rPr>
          <w:b/>
        </w:rPr>
      </w:pPr>
      <w:r>
        <w:rPr>
          <w:b/>
        </w:rPr>
        <w:t>DeptID Naming Standards are as follows.</w:t>
      </w:r>
    </w:p>
    <w:p w:rsidR="003D787C" w:rsidRDefault="003D787C">
      <w:pPr>
        <w:spacing w:line="240" w:lineRule="auto"/>
      </w:pPr>
    </w:p>
    <w:p w:rsidR="003D787C" w:rsidRDefault="00116E0C">
      <w:pPr>
        <w:numPr>
          <w:ilvl w:val="0"/>
          <w:numId w:val="4"/>
        </w:numPr>
        <w:spacing w:line="240" w:lineRule="auto"/>
        <w:ind w:hanging="360"/>
        <w:contextualSpacing/>
      </w:pPr>
      <w:r>
        <w:t>To improve clarity and recognition, the descriptive portion of the title usually appears first. Short titles (30 chars) are used on screens or reports where space is limited or where the context does not require a full title. In certain listings, shorter titles may be more concise and easier to read. The goal is to make the short title as recognizable as possible within 30 characters.</w:t>
      </w:r>
    </w:p>
    <w:p w:rsidR="003D787C" w:rsidRDefault="00116E0C">
      <w:pPr>
        <w:numPr>
          <w:ilvl w:val="0"/>
          <w:numId w:val="4"/>
        </w:numPr>
        <w:spacing w:line="240" w:lineRule="auto"/>
        <w:ind w:hanging="360"/>
        <w:contextualSpacing/>
      </w:pPr>
      <w:r>
        <w:t>The Department/faculty Code is a three character code that is selected by the department. Listed in uppercase, abbreviated 2-4 characters</w:t>
      </w:r>
    </w:p>
    <w:p w:rsidR="003D787C" w:rsidRDefault="00116E0C">
      <w:pPr>
        <w:spacing w:line="240" w:lineRule="auto"/>
      </w:pPr>
      <w:r>
        <w:t xml:space="preserve"> </w:t>
      </w:r>
    </w:p>
    <w:p w:rsidR="003D787C" w:rsidRDefault="00116E0C">
      <w:pPr>
        <w:spacing w:line="240" w:lineRule="auto"/>
        <w:rPr>
          <w:rFonts w:ascii="Calibri" w:eastAsia="Calibri" w:hAnsi="Calibri" w:cs="Calibri"/>
          <w:color w:val="666666"/>
        </w:rPr>
      </w:pPr>
      <w:r>
        <w:t>Examples:</w:t>
      </w:r>
    </w:p>
    <w:tbl>
      <w:tblPr>
        <w:tblStyle w:val="a0"/>
        <w:tblW w:w="945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600" w:firstRow="0" w:lastRow="0" w:firstColumn="0" w:lastColumn="0" w:noHBand="1" w:noVBand="1"/>
      </w:tblPr>
      <w:tblGrid>
        <w:gridCol w:w="2880"/>
        <w:gridCol w:w="1755"/>
        <w:gridCol w:w="135"/>
        <w:gridCol w:w="3045"/>
        <w:gridCol w:w="1635"/>
      </w:tblGrid>
      <w:tr w:rsidR="003D787C">
        <w:trPr>
          <w:trHeight w:val="380"/>
        </w:trPr>
        <w:tc>
          <w:tcPr>
            <w:tcW w:w="2880" w:type="dxa"/>
            <w:tcBorders>
              <w:top w:val="single" w:sz="4" w:space="0" w:color="70AD47"/>
              <w:left w:val="single" w:sz="4" w:space="0" w:color="70AD47"/>
              <w:bottom w:val="single" w:sz="4" w:space="0" w:color="70AD47"/>
              <w:right w:val="single" w:sz="4" w:space="0" w:color="70AD47"/>
            </w:tcBorders>
            <w:shd w:val="clear" w:color="auto" w:fill="70AD47"/>
            <w:tcMar>
              <w:top w:w="43" w:type="dxa"/>
              <w:left w:w="43" w:type="dxa"/>
              <w:bottom w:w="43" w:type="dxa"/>
              <w:right w:w="43" w:type="dxa"/>
            </w:tcMar>
          </w:tcPr>
          <w:p w:rsidR="003D787C" w:rsidRDefault="00116E0C">
            <w:pPr>
              <w:spacing w:line="331" w:lineRule="auto"/>
              <w:ind w:left="75"/>
              <w:rPr>
                <w:rFonts w:ascii="Calibri" w:eastAsia="Calibri" w:hAnsi="Calibri" w:cs="Calibri"/>
                <w:b/>
                <w:sz w:val="24"/>
                <w:szCs w:val="24"/>
                <w:shd w:val="clear" w:color="auto" w:fill="70AD47"/>
              </w:rPr>
            </w:pPr>
            <w:r>
              <w:rPr>
                <w:rFonts w:ascii="Calibri" w:eastAsia="Calibri" w:hAnsi="Calibri" w:cs="Calibri"/>
                <w:b/>
                <w:sz w:val="24"/>
                <w:szCs w:val="24"/>
                <w:shd w:val="clear" w:color="auto" w:fill="70AD47"/>
              </w:rPr>
              <w:t>Name</w:t>
            </w:r>
          </w:p>
        </w:tc>
        <w:tc>
          <w:tcPr>
            <w:tcW w:w="1755" w:type="dxa"/>
            <w:tcBorders>
              <w:top w:val="single" w:sz="4" w:space="0" w:color="70AD47"/>
              <w:left w:val="single" w:sz="4" w:space="0" w:color="70AD47"/>
              <w:bottom w:val="single" w:sz="4" w:space="0" w:color="70AD47"/>
              <w:right w:val="single" w:sz="4" w:space="0" w:color="70AD47"/>
            </w:tcBorders>
            <w:shd w:val="clear" w:color="auto" w:fill="70AD47"/>
            <w:tcMar>
              <w:top w:w="43" w:type="dxa"/>
              <w:left w:w="43" w:type="dxa"/>
              <w:bottom w:w="43" w:type="dxa"/>
              <w:right w:w="43" w:type="dxa"/>
            </w:tcMar>
          </w:tcPr>
          <w:p w:rsidR="003D787C" w:rsidRDefault="00116E0C">
            <w:pPr>
              <w:spacing w:line="331" w:lineRule="auto"/>
              <w:ind w:left="45"/>
              <w:jc w:val="center"/>
              <w:rPr>
                <w:rFonts w:ascii="Calibri" w:eastAsia="Calibri" w:hAnsi="Calibri" w:cs="Calibri"/>
                <w:b/>
                <w:sz w:val="24"/>
                <w:szCs w:val="24"/>
                <w:shd w:val="clear" w:color="auto" w:fill="70AD47"/>
              </w:rPr>
            </w:pPr>
            <w:r>
              <w:rPr>
                <w:rFonts w:ascii="Calibri" w:eastAsia="Calibri" w:hAnsi="Calibri" w:cs="Calibri"/>
                <w:b/>
                <w:sz w:val="24"/>
                <w:szCs w:val="24"/>
                <w:shd w:val="clear" w:color="auto" w:fill="70AD47"/>
              </w:rPr>
              <w:t>Faculty Code</w:t>
            </w:r>
          </w:p>
        </w:tc>
        <w:tc>
          <w:tcPr>
            <w:tcW w:w="135" w:type="dxa"/>
            <w:tcBorders>
              <w:top w:val="single" w:sz="4" w:space="0" w:color="70AD47"/>
              <w:left w:val="single" w:sz="4" w:space="0" w:color="70AD47"/>
              <w:bottom w:val="single" w:sz="4" w:space="0" w:color="70AD47"/>
              <w:right w:val="single" w:sz="4" w:space="0" w:color="70AD47"/>
            </w:tcBorders>
            <w:shd w:val="clear" w:color="auto" w:fill="70AD47"/>
            <w:tcMar>
              <w:top w:w="43" w:type="dxa"/>
              <w:left w:w="43" w:type="dxa"/>
              <w:bottom w:w="43" w:type="dxa"/>
              <w:right w:w="43" w:type="dxa"/>
            </w:tcMar>
          </w:tcPr>
          <w:p w:rsidR="003D787C" w:rsidRDefault="003D787C">
            <w:pPr>
              <w:spacing w:line="331" w:lineRule="auto"/>
              <w:ind w:left="150"/>
              <w:rPr>
                <w:rFonts w:ascii="Calibri" w:eastAsia="Calibri" w:hAnsi="Calibri" w:cs="Calibri"/>
                <w:b/>
                <w:sz w:val="24"/>
                <w:szCs w:val="24"/>
                <w:shd w:val="clear" w:color="auto" w:fill="70AD47"/>
              </w:rPr>
            </w:pPr>
          </w:p>
        </w:tc>
        <w:tc>
          <w:tcPr>
            <w:tcW w:w="3045" w:type="dxa"/>
            <w:tcBorders>
              <w:top w:val="single" w:sz="4" w:space="0" w:color="70AD47"/>
              <w:left w:val="single" w:sz="4" w:space="0" w:color="70AD47"/>
              <w:bottom w:val="single" w:sz="4" w:space="0" w:color="70AD47"/>
              <w:right w:val="single" w:sz="4" w:space="0" w:color="70AD47"/>
            </w:tcBorders>
            <w:shd w:val="clear" w:color="auto" w:fill="70AD47"/>
            <w:tcMar>
              <w:top w:w="43" w:type="dxa"/>
              <w:left w:w="43" w:type="dxa"/>
              <w:bottom w:w="43" w:type="dxa"/>
              <w:right w:w="43" w:type="dxa"/>
            </w:tcMar>
          </w:tcPr>
          <w:p w:rsidR="003D787C" w:rsidRDefault="00116E0C">
            <w:pPr>
              <w:spacing w:line="331" w:lineRule="auto"/>
              <w:ind w:left="75"/>
              <w:rPr>
                <w:rFonts w:ascii="Calibri" w:eastAsia="Calibri" w:hAnsi="Calibri" w:cs="Calibri"/>
                <w:b/>
                <w:sz w:val="24"/>
                <w:szCs w:val="24"/>
                <w:shd w:val="clear" w:color="auto" w:fill="70AD47"/>
              </w:rPr>
            </w:pPr>
            <w:r>
              <w:rPr>
                <w:rFonts w:ascii="Calibri" w:eastAsia="Calibri" w:hAnsi="Calibri" w:cs="Calibri"/>
                <w:b/>
                <w:sz w:val="24"/>
                <w:szCs w:val="24"/>
                <w:shd w:val="clear" w:color="auto" w:fill="70AD47"/>
              </w:rPr>
              <w:t>Name</w:t>
            </w:r>
          </w:p>
        </w:tc>
        <w:tc>
          <w:tcPr>
            <w:tcW w:w="1635" w:type="dxa"/>
            <w:tcBorders>
              <w:top w:val="single" w:sz="4" w:space="0" w:color="70AD47"/>
              <w:left w:val="single" w:sz="4" w:space="0" w:color="70AD47"/>
              <w:bottom w:val="single" w:sz="4" w:space="0" w:color="70AD47"/>
              <w:right w:val="single" w:sz="4" w:space="0" w:color="70AD47"/>
            </w:tcBorders>
            <w:shd w:val="clear" w:color="auto" w:fill="70AD47"/>
            <w:tcMar>
              <w:top w:w="43" w:type="dxa"/>
              <w:left w:w="43" w:type="dxa"/>
              <w:bottom w:w="43" w:type="dxa"/>
              <w:right w:w="43" w:type="dxa"/>
            </w:tcMar>
          </w:tcPr>
          <w:p w:rsidR="003D787C" w:rsidRDefault="00116E0C">
            <w:pPr>
              <w:spacing w:line="331" w:lineRule="auto"/>
              <w:ind w:left="-30"/>
              <w:jc w:val="center"/>
              <w:rPr>
                <w:rFonts w:ascii="Calibri" w:eastAsia="Calibri" w:hAnsi="Calibri" w:cs="Calibri"/>
                <w:b/>
                <w:sz w:val="24"/>
                <w:szCs w:val="24"/>
                <w:shd w:val="clear" w:color="auto" w:fill="70AD47"/>
              </w:rPr>
            </w:pPr>
            <w:r>
              <w:rPr>
                <w:rFonts w:ascii="Calibri" w:eastAsia="Calibri" w:hAnsi="Calibri" w:cs="Calibri"/>
                <w:b/>
                <w:sz w:val="24"/>
                <w:szCs w:val="24"/>
                <w:shd w:val="clear" w:color="auto" w:fill="70AD47"/>
              </w:rPr>
              <w:t>Faculty Code</w:t>
            </w:r>
          </w:p>
        </w:tc>
      </w:tr>
      <w:tr w:rsidR="003D787C">
        <w:trPr>
          <w:trHeight w:val="420"/>
        </w:trPr>
        <w:tc>
          <w:tcPr>
            <w:tcW w:w="2880"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Administration</w:t>
            </w:r>
          </w:p>
        </w:tc>
        <w:tc>
          <w:tcPr>
            <w:tcW w:w="1755"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45"/>
              <w:jc w:val="center"/>
              <w:rPr>
                <w:rFonts w:ascii="Calibri" w:eastAsia="Calibri" w:hAnsi="Calibri" w:cs="Calibri"/>
                <w:highlight w:val="white"/>
              </w:rPr>
            </w:pPr>
            <w:r>
              <w:rPr>
                <w:rFonts w:ascii="Calibri" w:eastAsia="Calibri" w:hAnsi="Calibri" w:cs="Calibri"/>
                <w:highlight w:val="white"/>
              </w:rPr>
              <w:t>ADM</w:t>
            </w:r>
          </w:p>
        </w:tc>
        <w:tc>
          <w:tcPr>
            <w:tcW w:w="135" w:type="dxa"/>
            <w:tcBorders>
              <w:top w:val="single" w:sz="4" w:space="0" w:color="70AD47"/>
              <w:left w:val="single" w:sz="4" w:space="0" w:color="70AD47"/>
              <w:bottom w:val="single" w:sz="4" w:space="0" w:color="70AD47"/>
              <w:right w:val="single" w:sz="4" w:space="0" w:color="70AD47"/>
            </w:tcBorders>
            <w:shd w:val="clear" w:color="auto" w:fill="70AD47"/>
            <w:tcMar>
              <w:top w:w="43" w:type="dxa"/>
              <w:left w:w="43" w:type="dxa"/>
              <w:bottom w:w="43" w:type="dxa"/>
              <w:right w:w="43" w:type="dxa"/>
            </w:tcMar>
          </w:tcPr>
          <w:p w:rsidR="003D787C" w:rsidRDefault="003D787C">
            <w:pPr>
              <w:spacing w:line="240" w:lineRule="auto"/>
            </w:pPr>
          </w:p>
        </w:tc>
        <w:tc>
          <w:tcPr>
            <w:tcW w:w="304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Nursing</w:t>
            </w:r>
          </w:p>
        </w:tc>
        <w:tc>
          <w:tcPr>
            <w:tcW w:w="163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30"/>
              <w:jc w:val="center"/>
              <w:rPr>
                <w:rFonts w:ascii="Calibri" w:eastAsia="Calibri" w:hAnsi="Calibri" w:cs="Calibri"/>
                <w:highlight w:val="white"/>
              </w:rPr>
            </w:pPr>
            <w:r>
              <w:rPr>
                <w:rFonts w:ascii="Calibri" w:eastAsia="Calibri" w:hAnsi="Calibri" w:cs="Calibri"/>
                <w:highlight w:val="white"/>
              </w:rPr>
              <w:t>NUR</w:t>
            </w:r>
          </w:p>
        </w:tc>
      </w:tr>
      <w:tr w:rsidR="003D787C">
        <w:trPr>
          <w:trHeight w:val="420"/>
        </w:trPr>
        <w:tc>
          <w:tcPr>
            <w:tcW w:w="2880"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Advancement/Development</w:t>
            </w:r>
          </w:p>
        </w:tc>
        <w:tc>
          <w:tcPr>
            <w:tcW w:w="1755"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45"/>
              <w:jc w:val="center"/>
              <w:rPr>
                <w:rFonts w:ascii="Calibri" w:eastAsia="Calibri" w:hAnsi="Calibri" w:cs="Calibri"/>
                <w:highlight w:val="white"/>
              </w:rPr>
            </w:pPr>
            <w:r>
              <w:rPr>
                <w:rFonts w:ascii="Calibri" w:eastAsia="Calibri" w:hAnsi="Calibri" w:cs="Calibri"/>
                <w:highlight w:val="white"/>
              </w:rPr>
              <w:t>VAD</w:t>
            </w:r>
          </w:p>
        </w:tc>
        <w:tc>
          <w:tcPr>
            <w:tcW w:w="135" w:type="dxa"/>
            <w:tcBorders>
              <w:top w:val="single" w:sz="4" w:space="0" w:color="70AD47"/>
              <w:left w:val="single" w:sz="4" w:space="0" w:color="70AD47"/>
              <w:bottom w:val="single" w:sz="4" w:space="0" w:color="70AD47"/>
              <w:right w:val="single" w:sz="4" w:space="0" w:color="70AD47"/>
            </w:tcBorders>
            <w:shd w:val="clear" w:color="auto" w:fill="70AD47"/>
            <w:tcMar>
              <w:top w:w="43" w:type="dxa"/>
              <w:left w:w="43" w:type="dxa"/>
              <w:bottom w:w="43" w:type="dxa"/>
              <w:right w:w="43" w:type="dxa"/>
            </w:tcMar>
          </w:tcPr>
          <w:p w:rsidR="003D787C" w:rsidRDefault="003D787C">
            <w:pPr>
              <w:spacing w:line="331" w:lineRule="auto"/>
              <w:ind w:left="150"/>
              <w:rPr>
                <w:rFonts w:ascii="Calibri" w:eastAsia="Calibri" w:hAnsi="Calibri" w:cs="Calibri"/>
                <w:highlight w:val="white"/>
              </w:rPr>
            </w:pPr>
          </w:p>
        </w:tc>
        <w:tc>
          <w:tcPr>
            <w:tcW w:w="304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Pharmacy &amp; Pharmaceutical Sc</w:t>
            </w:r>
          </w:p>
        </w:tc>
        <w:tc>
          <w:tcPr>
            <w:tcW w:w="163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30"/>
              <w:jc w:val="center"/>
              <w:rPr>
                <w:rFonts w:ascii="Calibri" w:eastAsia="Calibri" w:hAnsi="Calibri" w:cs="Calibri"/>
                <w:highlight w:val="white"/>
              </w:rPr>
            </w:pPr>
            <w:r>
              <w:rPr>
                <w:rFonts w:ascii="Calibri" w:eastAsia="Calibri" w:hAnsi="Calibri" w:cs="Calibri"/>
                <w:highlight w:val="white"/>
              </w:rPr>
              <w:t>PPS</w:t>
            </w:r>
          </w:p>
        </w:tc>
      </w:tr>
      <w:tr w:rsidR="003D787C">
        <w:trPr>
          <w:trHeight w:val="420"/>
        </w:trPr>
        <w:tc>
          <w:tcPr>
            <w:tcW w:w="2880"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Agricultural Life &amp; Envir Sc</w:t>
            </w:r>
          </w:p>
        </w:tc>
        <w:tc>
          <w:tcPr>
            <w:tcW w:w="1755"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45"/>
              <w:jc w:val="center"/>
              <w:rPr>
                <w:rFonts w:ascii="Calibri" w:eastAsia="Calibri" w:hAnsi="Calibri" w:cs="Calibri"/>
                <w:highlight w:val="white"/>
              </w:rPr>
            </w:pPr>
            <w:r>
              <w:rPr>
                <w:rFonts w:ascii="Calibri" w:eastAsia="Calibri" w:hAnsi="Calibri" w:cs="Calibri"/>
                <w:highlight w:val="white"/>
              </w:rPr>
              <w:t>ALE</w:t>
            </w:r>
          </w:p>
        </w:tc>
        <w:tc>
          <w:tcPr>
            <w:tcW w:w="135" w:type="dxa"/>
            <w:tcBorders>
              <w:top w:val="single" w:sz="4" w:space="0" w:color="70AD47"/>
              <w:left w:val="single" w:sz="4" w:space="0" w:color="70AD47"/>
              <w:bottom w:val="single" w:sz="4" w:space="0" w:color="70AD47"/>
              <w:right w:val="single" w:sz="4" w:space="0" w:color="70AD47"/>
            </w:tcBorders>
            <w:shd w:val="clear" w:color="auto" w:fill="70AD47"/>
            <w:tcMar>
              <w:top w:w="43" w:type="dxa"/>
              <w:left w:w="43" w:type="dxa"/>
              <w:bottom w:w="43" w:type="dxa"/>
              <w:right w:w="43" w:type="dxa"/>
            </w:tcMar>
          </w:tcPr>
          <w:p w:rsidR="003D787C" w:rsidRDefault="003D787C">
            <w:pPr>
              <w:spacing w:line="331" w:lineRule="auto"/>
              <w:ind w:left="150"/>
              <w:rPr>
                <w:rFonts w:ascii="Calibri" w:eastAsia="Calibri" w:hAnsi="Calibri" w:cs="Calibri"/>
                <w:highlight w:val="white"/>
              </w:rPr>
            </w:pPr>
          </w:p>
        </w:tc>
        <w:tc>
          <w:tcPr>
            <w:tcW w:w="304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Physical Ed &amp; Recreation</w:t>
            </w:r>
          </w:p>
        </w:tc>
        <w:tc>
          <w:tcPr>
            <w:tcW w:w="163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30"/>
              <w:jc w:val="center"/>
              <w:rPr>
                <w:rFonts w:ascii="Calibri" w:eastAsia="Calibri" w:hAnsi="Calibri" w:cs="Calibri"/>
                <w:highlight w:val="white"/>
              </w:rPr>
            </w:pPr>
            <w:r>
              <w:rPr>
                <w:rFonts w:ascii="Calibri" w:eastAsia="Calibri" w:hAnsi="Calibri" w:cs="Calibri"/>
                <w:highlight w:val="white"/>
              </w:rPr>
              <w:t>PER</w:t>
            </w:r>
          </w:p>
        </w:tc>
      </w:tr>
      <w:tr w:rsidR="003D787C">
        <w:trPr>
          <w:trHeight w:val="420"/>
        </w:trPr>
        <w:tc>
          <w:tcPr>
            <w:tcW w:w="2880"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Alberta School of Business</w:t>
            </w:r>
          </w:p>
        </w:tc>
        <w:tc>
          <w:tcPr>
            <w:tcW w:w="1755"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45"/>
              <w:jc w:val="center"/>
              <w:rPr>
                <w:rFonts w:ascii="Calibri" w:eastAsia="Calibri" w:hAnsi="Calibri" w:cs="Calibri"/>
                <w:highlight w:val="white"/>
              </w:rPr>
            </w:pPr>
            <w:r>
              <w:rPr>
                <w:rFonts w:ascii="Calibri" w:eastAsia="Calibri" w:hAnsi="Calibri" w:cs="Calibri"/>
                <w:highlight w:val="white"/>
              </w:rPr>
              <w:t>BUS</w:t>
            </w:r>
          </w:p>
        </w:tc>
        <w:tc>
          <w:tcPr>
            <w:tcW w:w="135" w:type="dxa"/>
            <w:tcBorders>
              <w:top w:val="single" w:sz="4" w:space="0" w:color="70AD47"/>
              <w:left w:val="single" w:sz="4" w:space="0" w:color="70AD47"/>
              <w:bottom w:val="single" w:sz="4" w:space="0" w:color="70AD47"/>
              <w:right w:val="single" w:sz="4" w:space="0" w:color="70AD47"/>
            </w:tcBorders>
            <w:shd w:val="clear" w:color="auto" w:fill="70AD47"/>
            <w:tcMar>
              <w:top w:w="43" w:type="dxa"/>
              <w:left w:w="43" w:type="dxa"/>
              <w:bottom w:w="43" w:type="dxa"/>
              <w:right w:w="43" w:type="dxa"/>
            </w:tcMar>
          </w:tcPr>
          <w:p w:rsidR="003D787C" w:rsidRDefault="003D787C">
            <w:pPr>
              <w:spacing w:line="331" w:lineRule="auto"/>
              <w:ind w:left="150"/>
              <w:rPr>
                <w:rFonts w:ascii="Calibri" w:eastAsia="Calibri" w:hAnsi="Calibri" w:cs="Calibri"/>
                <w:highlight w:val="white"/>
              </w:rPr>
            </w:pPr>
          </w:p>
        </w:tc>
        <w:tc>
          <w:tcPr>
            <w:tcW w:w="304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President</w:t>
            </w:r>
          </w:p>
        </w:tc>
        <w:tc>
          <w:tcPr>
            <w:tcW w:w="163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30"/>
              <w:jc w:val="center"/>
              <w:rPr>
                <w:rFonts w:ascii="Calibri" w:eastAsia="Calibri" w:hAnsi="Calibri" w:cs="Calibri"/>
                <w:highlight w:val="white"/>
              </w:rPr>
            </w:pPr>
            <w:r>
              <w:rPr>
                <w:rFonts w:ascii="Calibri" w:eastAsia="Calibri" w:hAnsi="Calibri" w:cs="Calibri"/>
                <w:highlight w:val="white"/>
              </w:rPr>
              <w:t>PRE</w:t>
            </w:r>
          </w:p>
        </w:tc>
      </w:tr>
      <w:tr w:rsidR="003D787C">
        <w:trPr>
          <w:trHeight w:val="420"/>
        </w:trPr>
        <w:tc>
          <w:tcPr>
            <w:tcW w:w="2880"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Arts</w:t>
            </w:r>
          </w:p>
        </w:tc>
        <w:tc>
          <w:tcPr>
            <w:tcW w:w="1755"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45"/>
              <w:jc w:val="center"/>
              <w:rPr>
                <w:rFonts w:ascii="Calibri" w:eastAsia="Calibri" w:hAnsi="Calibri" w:cs="Calibri"/>
                <w:highlight w:val="white"/>
              </w:rPr>
            </w:pPr>
            <w:r>
              <w:rPr>
                <w:rFonts w:ascii="Calibri" w:eastAsia="Calibri" w:hAnsi="Calibri" w:cs="Calibri"/>
                <w:highlight w:val="white"/>
              </w:rPr>
              <w:t>ART</w:t>
            </w:r>
          </w:p>
        </w:tc>
        <w:tc>
          <w:tcPr>
            <w:tcW w:w="135" w:type="dxa"/>
            <w:tcBorders>
              <w:top w:val="single" w:sz="4" w:space="0" w:color="70AD47"/>
              <w:left w:val="single" w:sz="4" w:space="0" w:color="70AD47"/>
              <w:bottom w:val="single" w:sz="4" w:space="0" w:color="70AD47"/>
              <w:right w:val="single" w:sz="4" w:space="0" w:color="70AD47"/>
            </w:tcBorders>
            <w:shd w:val="clear" w:color="auto" w:fill="70AD47"/>
            <w:tcMar>
              <w:top w:w="43" w:type="dxa"/>
              <w:left w:w="43" w:type="dxa"/>
              <w:bottom w:w="43" w:type="dxa"/>
              <w:right w:w="43" w:type="dxa"/>
            </w:tcMar>
          </w:tcPr>
          <w:p w:rsidR="003D787C" w:rsidRDefault="003D787C">
            <w:pPr>
              <w:spacing w:line="331" w:lineRule="auto"/>
              <w:ind w:left="150"/>
              <w:rPr>
                <w:rFonts w:ascii="Calibri" w:eastAsia="Calibri" w:hAnsi="Calibri" w:cs="Calibri"/>
                <w:highlight w:val="white"/>
              </w:rPr>
            </w:pPr>
          </w:p>
        </w:tc>
        <w:tc>
          <w:tcPr>
            <w:tcW w:w="304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Provost &amp; VP (Academic)</w:t>
            </w:r>
          </w:p>
        </w:tc>
        <w:tc>
          <w:tcPr>
            <w:tcW w:w="163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30"/>
              <w:jc w:val="center"/>
              <w:rPr>
                <w:rFonts w:ascii="Calibri" w:eastAsia="Calibri" w:hAnsi="Calibri" w:cs="Calibri"/>
                <w:highlight w:val="white"/>
              </w:rPr>
            </w:pPr>
            <w:r>
              <w:rPr>
                <w:rFonts w:ascii="Calibri" w:eastAsia="Calibri" w:hAnsi="Calibri" w:cs="Calibri"/>
                <w:highlight w:val="white"/>
              </w:rPr>
              <w:t>VPA</w:t>
            </w:r>
          </w:p>
        </w:tc>
      </w:tr>
      <w:tr w:rsidR="003D787C">
        <w:trPr>
          <w:trHeight w:val="420"/>
        </w:trPr>
        <w:tc>
          <w:tcPr>
            <w:tcW w:w="2880"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Audit and Analysis</w:t>
            </w:r>
          </w:p>
        </w:tc>
        <w:tc>
          <w:tcPr>
            <w:tcW w:w="1755"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45"/>
              <w:jc w:val="center"/>
              <w:rPr>
                <w:rFonts w:ascii="Calibri" w:eastAsia="Calibri" w:hAnsi="Calibri" w:cs="Calibri"/>
                <w:highlight w:val="white"/>
              </w:rPr>
            </w:pPr>
            <w:r>
              <w:rPr>
                <w:rFonts w:ascii="Calibri" w:eastAsia="Calibri" w:hAnsi="Calibri" w:cs="Calibri"/>
                <w:highlight w:val="white"/>
              </w:rPr>
              <w:t>ASA</w:t>
            </w:r>
          </w:p>
        </w:tc>
        <w:tc>
          <w:tcPr>
            <w:tcW w:w="135" w:type="dxa"/>
            <w:tcBorders>
              <w:top w:val="single" w:sz="4" w:space="0" w:color="70AD47"/>
              <w:left w:val="single" w:sz="4" w:space="0" w:color="70AD47"/>
              <w:bottom w:val="single" w:sz="4" w:space="0" w:color="70AD47"/>
              <w:right w:val="single" w:sz="4" w:space="0" w:color="70AD47"/>
            </w:tcBorders>
            <w:shd w:val="clear" w:color="auto" w:fill="70AD47"/>
            <w:tcMar>
              <w:top w:w="43" w:type="dxa"/>
              <w:left w:w="43" w:type="dxa"/>
              <w:bottom w:w="43" w:type="dxa"/>
              <w:right w:w="43" w:type="dxa"/>
            </w:tcMar>
          </w:tcPr>
          <w:p w:rsidR="003D787C" w:rsidRDefault="003D787C">
            <w:pPr>
              <w:spacing w:line="331" w:lineRule="auto"/>
              <w:ind w:left="150"/>
              <w:rPr>
                <w:rFonts w:ascii="Calibri" w:eastAsia="Calibri" w:hAnsi="Calibri" w:cs="Calibri"/>
                <w:highlight w:val="white"/>
              </w:rPr>
            </w:pPr>
          </w:p>
        </w:tc>
        <w:tc>
          <w:tcPr>
            <w:tcW w:w="304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Registrar's Office</w:t>
            </w:r>
          </w:p>
        </w:tc>
        <w:tc>
          <w:tcPr>
            <w:tcW w:w="163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30"/>
              <w:jc w:val="center"/>
              <w:rPr>
                <w:rFonts w:ascii="Calibri" w:eastAsia="Calibri" w:hAnsi="Calibri" w:cs="Calibri"/>
                <w:highlight w:val="white"/>
              </w:rPr>
            </w:pPr>
            <w:r>
              <w:rPr>
                <w:rFonts w:ascii="Calibri" w:eastAsia="Calibri" w:hAnsi="Calibri" w:cs="Calibri"/>
                <w:highlight w:val="white"/>
              </w:rPr>
              <w:t>REG</w:t>
            </w:r>
          </w:p>
        </w:tc>
      </w:tr>
      <w:tr w:rsidR="003D787C">
        <w:trPr>
          <w:trHeight w:val="420"/>
        </w:trPr>
        <w:tc>
          <w:tcPr>
            <w:tcW w:w="2880"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Augustana Campus</w:t>
            </w:r>
          </w:p>
        </w:tc>
        <w:tc>
          <w:tcPr>
            <w:tcW w:w="1755"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45"/>
              <w:jc w:val="center"/>
              <w:rPr>
                <w:rFonts w:ascii="Calibri" w:eastAsia="Calibri" w:hAnsi="Calibri" w:cs="Calibri"/>
                <w:highlight w:val="white"/>
              </w:rPr>
            </w:pPr>
            <w:r>
              <w:rPr>
                <w:rFonts w:ascii="Calibri" w:eastAsia="Calibri" w:hAnsi="Calibri" w:cs="Calibri"/>
                <w:highlight w:val="white"/>
              </w:rPr>
              <w:t>AUG</w:t>
            </w:r>
          </w:p>
        </w:tc>
        <w:tc>
          <w:tcPr>
            <w:tcW w:w="135" w:type="dxa"/>
            <w:tcBorders>
              <w:top w:val="single" w:sz="4" w:space="0" w:color="70AD47"/>
              <w:left w:val="single" w:sz="4" w:space="0" w:color="70AD47"/>
              <w:bottom w:val="single" w:sz="4" w:space="0" w:color="70AD47"/>
              <w:right w:val="single" w:sz="4" w:space="0" w:color="70AD47"/>
            </w:tcBorders>
            <w:shd w:val="clear" w:color="auto" w:fill="70AD47"/>
            <w:tcMar>
              <w:top w:w="43" w:type="dxa"/>
              <w:left w:w="43" w:type="dxa"/>
              <w:bottom w:w="43" w:type="dxa"/>
              <w:right w:w="43" w:type="dxa"/>
            </w:tcMar>
          </w:tcPr>
          <w:p w:rsidR="003D787C" w:rsidRDefault="003D787C">
            <w:pPr>
              <w:spacing w:line="331" w:lineRule="auto"/>
              <w:ind w:left="150"/>
              <w:rPr>
                <w:rFonts w:ascii="Calibri" w:eastAsia="Calibri" w:hAnsi="Calibri" w:cs="Calibri"/>
                <w:highlight w:val="white"/>
              </w:rPr>
            </w:pPr>
          </w:p>
        </w:tc>
        <w:tc>
          <w:tcPr>
            <w:tcW w:w="304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Rehabilitation Medicine</w:t>
            </w:r>
          </w:p>
        </w:tc>
        <w:tc>
          <w:tcPr>
            <w:tcW w:w="163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30"/>
              <w:jc w:val="center"/>
              <w:rPr>
                <w:rFonts w:ascii="Calibri" w:eastAsia="Calibri" w:hAnsi="Calibri" w:cs="Calibri"/>
                <w:highlight w:val="white"/>
              </w:rPr>
            </w:pPr>
            <w:r>
              <w:rPr>
                <w:rFonts w:ascii="Calibri" w:eastAsia="Calibri" w:hAnsi="Calibri" w:cs="Calibri"/>
                <w:highlight w:val="white"/>
              </w:rPr>
              <w:t>REM</w:t>
            </w:r>
          </w:p>
        </w:tc>
      </w:tr>
      <w:tr w:rsidR="003D787C">
        <w:trPr>
          <w:trHeight w:val="420"/>
        </w:trPr>
        <w:tc>
          <w:tcPr>
            <w:tcW w:w="2880"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Campus Saint-Jean</w:t>
            </w:r>
          </w:p>
        </w:tc>
        <w:tc>
          <w:tcPr>
            <w:tcW w:w="1755"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45"/>
              <w:jc w:val="center"/>
              <w:rPr>
                <w:rFonts w:ascii="Calibri" w:eastAsia="Calibri" w:hAnsi="Calibri" w:cs="Calibri"/>
                <w:highlight w:val="white"/>
              </w:rPr>
            </w:pPr>
            <w:r>
              <w:rPr>
                <w:rFonts w:ascii="Calibri" w:eastAsia="Calibri" w:hAnsi="Calibri" w:cs="Calibri"/>
                <w:highlight w:val="white"/>
              </w:rPr>
              <w:t>CSJ</w:t>
            </w:r>
          </w:p>
        </w:tc>
        <w:tc>
          <w:tcPr>
            <w:tcW w:w="135" w:type="dxa"/>
            <w:tcBorders>
              <w:top w:val="single" w:sz="4" w:space="0" w:color="70AD47"/>
              <w:left w:val="single" w:sz="4" w:space="0" w:color="70AD47"/>
              <w:bottom w:val="single" w:sz="4" w:space="0" w:color="70AD47"/>
              <w:right w:val="single" w:sz="4" w:space="0" w:color="70AD47"/>
            </w:tcBorders>
            <w:shd w:val="clear" w:color="auto" w:fill="70AD47"/>
            <w:tcMar>
              <w:top w:w="43" w:type="dxa"/>
              <w:left w:w="43" w:type="dxa"/>
              <w:bottom w:w="43" w:type="dxa"/>
              <w:right w:w="43" w:type="dxa"/>
            </w:tcMar>
          </w:tcPr>
          <w:p w:rsidR="003D787C" w:rsidRDefault="003D787C">
            <w:pPr>
              <w:spacing w:line="331" w:lineRule="auto"/>
              <w:ind w:left="150"/>
              <w:rPr>
                <w:rFonts w:ascii="Calibri" w:eastAsia="Calibri" w:hAnsi="Calibri" w:cs="Calibri"/>
                <w:highlight w:val="white"/>
              </w:rPr>
            </w:pPr>
          </w:p>
        </w:tc>
        <w:tc>
          <w:tcPr>
            <w:tcW w:w="304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Research Services Office</w:t>
            </w:r>
          </w:p>
        </w:tc>
        <w:tc>
          <w:tcPr>
            <w:tcW w:w="163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30"/>
              <w:jc w:val="center"/>
              <w:rPr>
                <w:rFonts w:ascii="Calibri" w:eastAsia="Calibri" w:hAnsi="Calibri" w:cs="Calibri"/>
                <w:highlight w:val="white"/>
              </w:rPr>
            </w:pPr>
            <w:r>
              <w:rPr>
                <w:rFonts w:ascii="Calibri" w:eastAsia="Calibri" w:hAnsi="Calibri" w:cs="Calibri"/>
                <w:highlight w:val="white"/>
              </w:rPr>
              <w:t>RSO</w:t>
            </w:r>
          </w:p>
        </w:tc>
      </w:tr>
      <w:tr w:rsidR="003D787C">
        <w:trPr>
          <w:trHeight w:val="420"/>
        </w:trPr>
        <w:tc>
          <w:tcPr>
            <w:tcW w:w="2880"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Education</w:t>
            </w:r>
          </w:p>
        </w:tc>
        <w:tc>
          <w:tcPr>
            <w:tcW w:w="1755"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45"/>
              <w:jc w:val="center"/>
              <w:rPr>
                <w:rFonts w:ascii="Calibri" w:eastAsia="Calibri" w:hAnsi="Calibri" w:cs="Calibri"/>
                <w:highlight w:val="white"/>
              </w:rPr>
            </w:pPr>
            <w:r>
              <w:rPr>
                <w:rFonts w:ascii="Calibri" w:eastAsia="Calibri" w:hAnsi="Calibri" w:cs="Calibri"/>
                <w:highlight w:val="white"/>
              </w:rPr>
              <w:t>EDU</w:t>
            </w:r>
          </w:p>
        </w:tc>
        <w:tc>
          <w:tcPr>
            <w:tcW w:w="135" w:type="dxa"/>
            <w:tcBorders>
              <w:top w:val="single" w:sz="4" w:space="0" w:color="70AD47"/>
              <w:left w:val="single" w:sz="4" w:space="0" w:color="70AD47"/>
              <w:bottom w:val="single" w:sz="4" w:space="0" w:color="70AD47"/>
              <w:right w:val="single" w:sz="4" w:space="0" w:color="70AD47"/>
            </w:tcBorders>
            <w:shd w:val="clear" w:color="auto" w:fill="70AD47"/>
            <w:tcMar>
              <w:top w:w="43" w:type="dxa"/>
              <w:left w:w="43" w:type="dxa"/>
              <w:bottom w:w="43" w:type="dxa"/>
              <w:right w:w="43" w:type="dxa"/>
            </w:tcMar>
          </w:tcPr>
          <w:p w:rsidR="003D787C" w:rsidRDefault="003D787C">
            <w:pPr>
              <w:spacing w:line="331" w:lineRule="auto"/>
              <w:ind w:left="150"/>
              <w:rPr>
                <w:rFonts w:ascii="Calibri" w:eastAsia="Calibri" w:hAnsi="Calibri" w:cs="Calibri"/>
                <w:highlight w:val="white"/>
              </w:rPr>
            </w:pPr>
          </w:p>
        </w:tc>
        <w:tc>
          <w:tcPr>
            <w:tcW w:w="304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Risk Management Services</w:t>
            </w:r>
          </w:p>
        </w:tc>
        <w:tc>
          <w:tcPr>
            <w:tcW w:w="163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30"/>
              <w:jc w:val="center"/>
              <w:rPr>
                <w:rFonts w:ascii="Calibri" w:eastAsia="Calibri" w:hAnsi="Calibri" w:cs="Calibri"/>
                <w:highlight w:val="white"/>
              </w:rPr>
            </w:pPr>
            <w:r>
              <w:rPr>
                <w:rFonts w:ascii="Calibri" w:eastAsia="Calibri" w:hAnsi="Calibri" w:cs="Calibri"/>
                <w:highlight w:val="white"/>
              </w:rPr>
              <w:t>RMS</w:t>
            </w:r>
          </w:p>
        </w:tc>
      </w:tr>
      <w:tr w:rsidR="003D787C">
        <w:trPr>
          <w:trHeight w:val="420"/>
        </w:trPr>
        <w:tc>
          <w:tcPr>
            <w:tcW w:w="2880"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Engineering</w:t>
            </w:r>
          </w:p>
        </w:tc>
        <w:tc>
          <w:tcPr>
            <w:tcW w:w="1755"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45"/>
              <w:jc w:val="center"/>
              <w:rPr>
                <w:rFonts w:ascii="Calibri" w:eastAsia="Calibri" w:hAnsi="Calibri" w:cs="Calibri"/>
                <w:highlight w:val="white"/>
              </w:rPr>
            </w:pPr>
            <w:r>
              <w:rPr>
                <w:rFonts w:ascii="Calibri" w:eastAsia="Calibri" w:hAnsi="Calibri" w:cs="Calibri"/>
                <w:highlight w:val="white"/>
              </w:rPr>
              <w:t>ENG</w:t>
            </w:r>
          </w:p>
        </w:tc>
        <w:tc>
          <w:tcPr>
            <w:tcW w:w="135" w:type="dxa"/>
            <w:tcBorders>
              <w:top w:val="single" w:sz="4" w:space="0" w:color="70AD47"/>
              <w:left w:val="single" w:sz="4" w:space="0" w:color="70AD47"/>
              <w:bottom w:val="single" w:sz="4" w:space="0" w:color="70AD47"/>
              <w:right w:val="single" w:sz="4" w:space="0" w:color="70AD47"/>
            </w:tcBorders>
            <w:shd w:val="clear" w:color="auto" w:fill="70AD47"/>
            <w:tcMar>
              <w:top w:w="43" w:type="dxa"/>
              <w:left w:w="43" w:type="dxa"/>
              <w:bottom w:w="43" w:type="dxa"/>
              <w:right w:w="43" w:type="dxa"/>
            </w:tcMar>
          </w:tcPr>
          <w:p w:rsidR="003D787C" w:rsidRDefault="003D787C">
            <w:pPr>
              <w:spacing w:line="331" w:lineRule="auto"/>
              <w:ind w:left="150"/>
              <w:rPr>
                <w:rFonts w:ascii="Calibri" w:eastAsia="Calibri" w:hAnsi="Calibri" w:cs="Calibri"/>
                <w:highlight w:val="white"/>
              </w:rPr>
            </w:pPr>
          </w:p>
        </w:tc>
        <w:tc>
          <w:tcPr>
            <w:tcW w:w="304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School of Public Health</w:t>
            </w:r>
          </w:p>
        </w:tc>
        <w:tc>
          <w:tcPr>
            <w:tcW w:w="163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30"/>
              <w:jc w:val="center"/>
              <w:rPr>
                <w:rFonts w:ascii="Calibri" w:eastAsia="Calibri" w:hAnsi="Calibri" w:cs="Calibri"/>
                <w:highlight w:val="white"/>
              </w:rPr>
            </w:pPr>
            <w:r>
              <w:rPr>
                <w:rFonts w:ascii="Calibri" w:eastAsia="Calibri" w:hAnsi="Calibri" w:cs="Calibri"/>
                <w:highlight w:val="white"/>
              </w:rPr>
              <w:t>SPH</w:t>
            </w:r>
          </w:p>
        </w:tc>
      </w:tr>
      <w:tr w:rsidR="003D787C">
        <w:trPr>
          <w:trHeight w:val="420"/>
        </w:trPr>
        <w:tc>
          <w:tcPr>
            <w:tcW w:w="2880"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Extension</w:t>
            </w:r>
          </w:p>
        </w:tc>
        <w:tc>
          <w:tcPr>
            <w:tcW w:w="1755"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45"/>
              <w:jc w:val="center"/>
              <w:rPr>
                <w:rFonts w:ascii="Calibri" w:eastAsia="Calibri" w:hAnsi="Calibri" w:cs="Calibri"/>
                <w:highlight w:val="white"/>
              </w:rPr>
            </w:pPr>
            <w:r>
              <w:rPr>
                <w:rFonts w:ascii="Calibri" w:eastAsia="Calibri" w:hAnsi="Calibri" w:cs="Calibri"/>
                <w:highlight w:val="white"/>
              </w:rPr>
              <w:t>EXT</w:t>
            </w:r>
          </w:p>
        </w:tc>
        <w:tc>
          <w:tcPr>
            <w:tcW w:w="135" w:type="dxa"/>
            <w:tcBorders>
              <w:top w:val="single" w:sz="4" w:space="0" w:color="70AD47"/>
              <w:left w:val="single" w:sz="4" w:space="0" w:color="70AD47"/>
              <w:bottom w:val="single" w:sz="4" w:space="0" w:color="70AD47"/>
              <w:right w:val="single" w:sz="4" w:space="0" w:color="70AD47"/>
            </w:tcBorders>
            <w:shd w:val="clear" w:color="auto" w:fill="70AD47"/>
            <w:tcMar>
              <w:top w:w="43" w:type="dxa"/>
              <w:left w:w="43" w:type="dxa"/>
              <w:bottom w:w="43" w:type="dxa"/>
              <w:right w:w="43" w:type="dxa"/>
            </w:tcMar>
          </w:tcPr>
          <w:p w:rsidR="003D787C" w:rsidRDefault="003D787C">
            <w:pPr>
              <w:spacing w:line="331" w:lineRule="auto"/>
              <w:ind w:left="150"/>
              <w:rPr>
                <w:rFonts w:ascii="Calibri" w:eastAsia="Calibri" w:hAnsi="Calibri" w:cs="Calibri"/>
                <w:highlight w:val="white"/>
              </w:rPr>
            </w:pPr>
          </w:p>
        </w:tc>
        <w:tc>
          <w:tcPr>
            <w:tcW w:w="304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Science</w:t>
            </w:r>
          </w:p>
        </w:tc>
        <w:tc>
          <w:tcPr>
            <w:tcW w:w="163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30"/>
              <w:jc w:val="center"/>
              <w:rPr>
                <w:rFonts w:ascii="Calibri" w:eastAsia="Calibri" w:hAnsi="Calibri" w:cs="Calibri"/>
                <w:highlight w:val="white"/>
              </w:rPr>
            </w:pPr>
            <w:r>
              <w:rPr>
                <w:rFonts w:ascii="Calibri" w:eastAsia="Calibri" w:hAnsi="Calibri" w:cs="Calibri"/>
                <w:highlight w:val="white"/>
              </w:rPr>
              <w:t>SCI</w:t>
            </w:r>
          </w:p>
        </w:tc>
      </w:tr>
      <w:tr w:rsidR="003D787C">
        <w:trPr>
          <w:trHeight w:val="420"/>
        </w:trPr>
        <w:tc>
          <w:tcPr>
            <w:tcW w:w="2880"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Finance Services</w:t>
            </w:r>
          </w:p>
        </w:tc>
        <w:tc>
          <w:tcPr>
            <w:tcW w:w="1755"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45"/>
              <w:jc w:val="center"/>
              <w:rPr>
                <w:rFonts w:ascii="Calibri" w:eastAsia="Calibri" w:hAnsi="Calibri" w:cs="Calibri"/>
                <w:highlight w:val="white"/>
              </w:rPr>
            </w:pPr>
            <w:r>
              <w:rPr>
                <w:rFonts w:ascii="Calibri" w:eastAsia="Calibri" w:hAnsi="Calibri" w:cs="Calibri"/>
                <w:highlight w:val="white"/>
              </w:rPr>
              <w:t>FIN</w:t>
            </w:r>
          </w:p>
        </w:tc>
        <w:tc>
          <w:tcPr>
            <w:tcW w:w="135" w:type="dxa"/>
            <w:tcBorders>
              <w:top w:val="single" w:sz="4" w:space="0" w:color="70AD47"/>
              <w:left w:val="single" w:sz="4" w:space="0" w:color="70AD47"/>
              <w:bottom w:val="single" w:sz="4" w:space="0" w:color="70AD47"/>
              <w:right w:val="single" w:sz="4" w:space="0" w:color="70AD47"/>
            </w:tcBorders>
            <w:shd w:val="clear" w:color="auto" w:fill="70AD47"/>
            <w:tcMar>
              <w:top w:w="43" w:type="dxa"/>
              <w:left w:w="43" w:type="dxa"/>
              <w:bottom w:w="43" w:type="dxa"/>
              <w:right w:w="43" w:type="dxa"/>
            </w:tcMar>
          </w:tcPr>
          <w:p w:rsidR="003D787C" w:rsidRDefault="003D787C">
            <w:pPr>
              <w:spacing w:line="331" w:lineRule="auto"/>
              <w:ind w:left="150"/>
              <w:rPr>
                <w:rFonts w:ascii="Calibri" w:eastAsia="Calibri" w:hAnsi="Calibri" w:cs="Calibri"/>
                <w:highlight w:val="white"/>
              </w:rPr>
            </w:pPr>
          </w:p>
        </w:tc>
        <w:tc>
          <w:tcPr>
            <w:tcW w:w="304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Student Services</w:t>
            </w:r>
          </w:p>
        </w:tc>
        <w:tc>
          <w:tcPr>
            <w:tcW w:w="163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30"/>
              <w:jc w:val="center"/>
              <w:rPr>
                <w:rFonts w:ascii="Calibri" w:eastAsia="Calibri" w:hAnsi="Calibri" w:cs="Calibri"/>
                <w:highlight w:val="white"/>
              </w:rPr>
            </w:pPr>
            <w:r>
              <w:rPr>
                <w:rFonts w:ascii="Calibri" w:eastAsia="Calibri" w:hAnsi="Calibri" w:cs="Calibri"/>
                <w:highlight w:val="white"/>
              </w:rPr>
              <w:t>SS</w:t>
            </w:r>
          </w:p>
        </w:tc>
      </w:tr>
      <w:tr w:rsidR="003D787C">
        <w:trPr>
          <w:trHeight w:val="420"/>
        </w:trPr>
        <w:tc>
          <w:tcPr>
            <w:tcW w:w="2880"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Graduate Studies &amp; Research</w:t>
            </w:r>
          </w:p>
        </w:tc>
        <w:tc>
          <w:tcPr>
            <w:tcW w:w="1755"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45"/>
              <w:jc w:val="center"/>
              <w:rPr>
                <w:rFonts w:ascii="Calibri" w:eastAsia="Calibri" w:hAnsi="Calibri" w:cs="Calibri"/>
                <w:highlight w:val="white"/>
              </w:rPr>
            </w:pPr>
            <w:r>
              <w:rPr>
                <w:rFonts w:ascii="Calibri" w:eastAsia="Calibri" w:hAnsi="Calibri" w:cs="Calibri"/>
                <w:highlight w:val="white"/>
              </w:rPr>
              <w:t>GSR</w:t>
            </w:r>
          </w:p>
        </w:tc>
        <w:tc>
          <w:tcPr>
            <w:tcW w:w="135" w:type="dxa"/>
            <w:tcBorders>
              <w:top w:val="single" w:sz="4" w:space="0" w:color="70AD47"/>
              <w:left w:val="single" w:sz="4" w:space="0" w:color="70AD47"/>
              <w:bottom w:val="single" w:sz="4" w:space="0" w:color="70AD47"/>
              <w:right w:val="single" w:sz="4" w:space="0" w:color="70AD47"/>
            </w:tcBorders>
            <w:shd w:val="clear" w:color="auto" w:fill="70AD47"/>
            <w:tcMar>
              <w:top w:w="43" w:type="dxa"/>
              <w:left w:w="43" w:type="dxa"/>
              <w:bottom w:w="43" w:type="dxa"/>
              <w:right w:w="43" w:type="dxa"/>
            </w:tcMar>
          </w:tcPr>
          <w:p w:rsidR="003D787C" w:rsidRDefault="003D787C">
            <w:pPr>
              <w:spacing w:line="331" w:lineRule="auto"/>
              <w:ind w:left="150"/>
              <w:rPr>
                <w:rFonts w:ascii="Calibri" w:eastAsia="Calibri" w:hAnsi="Calibri" w:cs="Calibri"/>
                <w:highlight w:val="white"/>
              </w:rPr>
            </w:pPr>
          </w:p>
        </w:tc>
        <w:tc>
          <w:tcPr>
            <w:tcW w:w="304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Supply Management Services</w:t>
            </w:r>
          </w:p>
        </w:tc>
        <w:tc>
          <w:tcPr>
            <w:tcW w:w="163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30"/>
              <w:jc w:val="center"/>
              <w:rPr>
                <w:rFonts w:ascii="Calibri" w:eastAsia="Calibri" w:hAnsi="Calibri" w:cs="Calibri"/>
                <w:highlight w:val="white"/>
              </w:rPr>
            </w:pPr>
            <w:r>
              <w:rPr>
                <w:rFonts w:ascii="Calibri" w:eastAsia="Calibri" w:hAnsi="Calibri" w:cs="Calibri"/>
                <w:highlight w:val="white"/>
              </w:rPr>
              <w:t>SMS</w:t>
            </w:r>
          </w:p>
        </w:tc>
      </w:tr>
      <w:tr w:rsidR="003D787C">
        <w:trPr>
          <w:trHeight w:val="420"/>
        </w:trPr>
        <w:tc>
          <w:tcPr>
            <w:tcW w:w="2880"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Human Resource Services</w:t>
            </w:r>
          </w:p>
        </w:tc>
        <w:tc>
          <w:tcPr>
            <w:tcW w:w="1755"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45"/>
              <w:jc w:val="center"/>
              <w:rPr>
                <w:rFonts w:ascii="Calibri" w:eastAsia="Calibri" w:hAnsi="Calibri" w:cs="Calibri"/>
                <w:highlight w:val="white"/>
              </w:rPr>
            </w:pPr>
            <w:r>
              <w:rPr>
                <w:rFonts w:ascii="Calibri" w:eastAsia="Calibri" w:hAnsi="Calibri" w:cs="Calibri"/>
                <w:highlight w:val="white"/>
              </w:rPr>
              <w:t>HRS</w:t>
            </w:r>
          </w:p>
        </w:tc>
        <w:tc>
          <w:tcPr>
            <w:tcW w:w="135" w:type="dxa"/>
            <w:tcBorders>
              <w:top w:val="single" w:sz="4" w:space="0" w:color="70AD47"/>
              <w:left w:val="single" w:sz="4" w:space="0" w:color="70AD47"/>
              <w:bottom w:val="single" w:sz="4" w:space="0" w:color="70AD47"/>
              <w:right w:val="single" w:sz="4" w:space="0" w:color="70AD47"/>
            </w:tcBorders>
            <w:shd w:val="clear" w:color="auto" w:fill="70AD47"/>
            <w:tcMar>
              <w:top w:w="43" w:type="dxa"/>
              <w:left w:w="43" w:type="dxa"/>
              <w:bottom w:w="43" w:type="dxa"/>
              <w:right w:w="43" w:type="dxa"/>
            </w:tcMar>
          </w:tcPr>
          <w:p w:rsidR="003D787C" w:rsidRDefault="003D787C">
            <w:pPr>
              <w:spacing w:line="331" w:lineRule="auto"/>
              <w:ind w:left="150"/>
              <w:rPr>
                <w:rFonts w:ascii="Calibri" w:eastAsia="Calibri" w:hAnsi="Calibri" w:cs="Calibri"/>
                <w:highlight w:val="white"/>
              </w:rPr>
            </w:pPr>
          </w:p>
        </w:tc>
        <w:tc>
          <w:tcPr>
            <w:tcW w:w="304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University AB International</w:t>
            </w:r>
          </w:p>
        </w:tc>
        <w:tc>
          <w:tcPr>
            <w:tcW w:w="163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30"/>
              <w:jc w:val="center"/>
              <w:rPr>
                <w:rFonts w:ascii="Calibri" w:eastAsia="Calibri" w:hAnsi="Calibri" w:cs="Calibri"/>
                <w:highlight w:val="white"/>
              </w:rPr>
            </w:pPr>
            <w:r>
              <w:rPr>
                <w:rFonts w:ascii="Calibri" w:eastAsia="Calibri" w:hAnsi="Calibri" w:cs="Calibri"/>
                <w:highlight w:val="white"/>
              </w:rPr>
              <w:t>UAI</w:t>
            </w:r>
          </w:p>
        </w:tc>
      </w:tr>
      <w:tr w:rsidR="003D787C">
        <w:trPr>
          <w:trHeight w:val="420"/>
        </w:trPr>
        <w:tc>
          <w:tcPr>
            <w:tcW w:w="2880"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Information Services &amp; Tech</w:t>
            </w:r>
          </w:p>
        </w:tc>
        <w:tc>
          <w:tcPr>
            <w:tcW w:w="1755" w:type="dxa"/>
            <w:tcBorders>
              <w:top w:val="single" w:sz="4" w:space="0" w:color="70AD47"/>
              <w:left w:val="single" w:sz="4" w:space="0" w:color="70AD47"/>
              <w:bottom w:val="single" w:sz="4" w:space="0" w:color="70AD47"/>
              <w:right w:val="single" w:sz="4" w:space="0" w:color="70AD47"/>
            </w:tcBorders>
            <w:shd w:val="clear" w:color="auto" w:fill="FFFFFF"/>
            <w:tcMar>
              <w:top w:w="43" w:type="dxa"/>
              <w:left w:w="43" w:type="dxa"/>
              <w:bottom w:w="43" w:type="dxa"/>
              <w:right w:w="43" w:type="dxa"/>
            </w:tcMar>
          </w:tcPr>
          <w:p w:rsidR="003D787C" w:rsidRDefault="00116E0C">
            <w:pPr>
              <w:spacing w:line="331" w:lineRule="auto"/>
              <w:ind w:left="45"/>
              <w:jc w:val="center"/>
              <w:rPr>
                <w:rFonts w:ascii="Calibri" w:eastAsia="Calibri" w:hAnsi="Calibri" w:cs="Calibri"/>
                <w:highlight w:val="white"/>
              </w:rPr>
            </w:pPr>
            <w:r>
              <w:rPr>
                <w:rFonts w:ascii="Calibri" w:eastAsia="Calibri" w:hAnsi="Calibri" w:cs="Calibri"/>
                <w:highlight w:val="white"/>
              </w:rPr>
              <w:t>IST</w:t>
            </w:r>
          </w:p>
        </w:tc>
        <w:tc>
          <w:tcPr>
            <w:tcW w:w="135" w:type="dxa"/>
            <w:tcBorders>
              <w:top w:val="single" w:sz="4" w:space="0" w:color="70AD47"/>
              <w:left w:val="single" w:sz="4" w:space="0" w:color="70AD47"/>
              <w:bottom w:val="single" w:sz="4" w:space="0" w:color="70AD47"/>
              <w:right w:val="single" w:sz="4" w:space="0" w:color="70AD47"/>
            </w:tcBorders>
            <w:shd w:val="clear" w:color="auto" w:fill="70AD47"/>
            <w:tcMar>
              <w:top w:w="43" w:type="dxa"/>
              <w:left w:w="43" w:type="dxa"/>
              <w:bottom w:w="43" w:type="dxa"/>
              <w:right w:w="43" w:type="dxa"/>
            </w:tcMar>
          </w:tcPr>
          <w:p w:rsidR="003D787C" w:rsidRDefault="003D787C">
            <w:pPr>
              <w:spacing w:line="331" w:lineRule="auto"/>
              <w:ind w:left="150"/>
              <w:rPr>
                <w:rFonts w:ascii="Calibri" w:eastAsia="Calibri" w:hAnsi="Calibri" w:cs="Calibri"/>
                <w:highlight w:val="white"/>
              </w:rPr>
            </w:pPr>
          </w:p>
        </w:tc>
        <w:tc>
          <w:tcPr>
            <w:tcW w:w="304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Vice-President (Research)</w:t>
            </w:r>
          </w:p>
        </w:tc>
        <w:tc>
          <w:tcPr>
            <w:tcW w:w="163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30"/>
              <w:jc w:val="center"/>
              <w:rPr>
                <w:rFonts w:ascii="Calibri" w:eastAsia="Calibri" w:hAnsi="Calibri" w:cs="Calibri"/>
                <w:highlight w:val="white"/>
              </w:rPr>
            </w:pPr>
            <w:r>
              <w:rPr>
                <w:rFonts w:ascii="Calibri" w:eastAsia="Calibri" w:hAnsi="Calibri" w:cs="Calibri"/>
                <w:highlight w:val="white"/>
              </w:rPr>
              <w:t>VRS</w:t>
            </w:r>
          </w:p>
        </w:tc>
      </w:tr>
      <w:tr w:rsidR="003D787C">
        <w:trPr>
          <w:trHeight w:val="420"/>
        </w:trPr>
        <w:tc>
          <w:tcPr>
            <w:tcW w:w="2880"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Law</w:t>
            </w:r>
          </w:p>
        </w:tc>
        <w:tc>
          <w:tcPr>
            <w:tcW w:w="175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45"/>
              <w:jc w:val="center"/>
              <w:rPr>
                <w:rFonts w:ascii="Calibri" w:eastAsia="Calibri" w:hAnsi="Calibri" w:cs="Calibri"/>
                <w:highlight w:val="white"/>
              </w:rPr>
            </w:pPr>
            <w:r>
              <w:rPr>
                <w:rFonts w:ascii="Calibri" w:eastAsia="Calibri" w:hAnsi="Calibri" w:cs="Calibri"/>
                <w:highlight w:val="white"/>
              </w:rPr>
              <w:t>LAW</w:t>
            </w:r>
          </w:p>
        </w:tc>
        <w:tc>
          <w:tcPr>
            <w:tcW w:w="135" w:type="dxa"/>
            <w:tcBorders>
              <w:top w:val="single" w:sz="4" w:space="0" w:color="70AD47"/>
              <w:left w:val="single" w:sz="4" w:space="0" w:color="70AD47"/>
              <w:bottom w:val="single" w:sz="4" w:space="0" w:color="70AD47"/>
              <w:right w:val="single" w:sz="4" w:space="0" w:color="70AD47"/>
            </w:tcBorders>
            <w:shd w:val="clear" w:color="auto" w:fill="70AD47"/>
            <w:tcMar>
              <w:top w:w="50" w:type="dxa"/>
              <w:left w:w="50" w:type="dxa"/>
              <w:bottom w:w="50" w:type="dxa"/>
              <w:right w:w="50" w:type="dxa"/>
            </w:tcMar>
          </w:tcPr>
          <w:p w:rsidR="003D787C" w:rsidRDefault="003D787C">
            <w:pPr>
              <w:spacing w:line="331" w:lineRule="auto"/>
              <w:ind w:left="150"/>
              <w:rPr>
                <w:rFonts w:ascii="Calibri" w:eastAsia="Calibri" w:hAnsi="Calibri" w:cs="Calibri"/>
                <w:highlight w:val="white"/>
              </w:rPr>
            </w:pPr>
          </w:p>
        </w:tc>
        <w:tc>
          <w:tcPr>
            <w:tcW w:w="304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VP (Advancement)</w:t>
            </w:r>
          </w:p>
        </w:tc>
        <w:tc>
          <w:tcPr>
            <w:tcW w:w="163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30"/>
              <w:jc w:val="center"/>
              <w:rPr>
                <w:rFonts w:ascii="Calibri" w:eastAsia="Calibri" w:hAnsi="Calibri" w:cs="Calibri"/>
                <w:highlight w:val="white"/>
              </w:rPr>
            </w:pPr>
            <w:r>
              <w:rPr>
                <w:rFonts w:ascii="Calibri" w:eastAsia="Calibri" w:hAnsi="Calibri" w:cs="Calibri"/>
                <w:highlight w:val="white"/>
              </w:rPr>
              <w:t>ADV</w:t>
            </w:r>
          </w:p>
        </w:tc>
      </w:tr>
      <w:tr w:rsidR="003D787C">
        <w:trPr>
          <w:trHeight w:val="420"/>
        </w:trPr>
        <w:tc>
          <w:tcPr>
            <w:tcW w:w="2880"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Libraries</w:t>
            </w:r>
          </w:p>
        </w:tc>
        <w:tc>
          <w:tcPr>
            <w:tcW w:w="175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45"/>
              <w:jc w:val="center"/>
              <w:rPr>
                <w:rFonts w:ascii="Calibri" w:eastAsia="Calibri" w:hAnsi="Calibri" w:cs="Calibri"/>
                <w:highlight w:val="white"/>
              </w:rPr>
            </w:pPr>
            <w:r>
              <w:rPr>
                <w:rFonts w:ascii="Calibri" w:eastAsia="Calibri" w:hAnsi="Calibri" w:cs="Calibri"/>
                <w:highlight w:val="white"/>
              </w:rPr>
              <w:t>LIB</w:t>
            </w:r>
          </w:p>
        </w:tc>
        <w:tc>
          <w:tcPr>
            <w:tcW w:w="135" w:type="dxa"/>
            <w:tcBorders>
              <w:top w:val="single" w:sz="4" w:space="0" w:color="70AD47"/>
              <w:left w:val="single" w:sz="4" w:space="0" w:color="70AD47"/>
              <w:bottom w:val="single" w:sz="4" w:space="0" w:color="70AD47"/>
              <w:right w:val="single" w:sz="4" w:space="0" w:color="70AD47"/>
            </w:tcBorders>
            <w:shd w:val="clear" w:color="auto" w:fill="70AD47"/>
            <w:tcMar>
              <w:top w:w="50" w:type="dxa"/>
              <w:left w:w="50" w:type="dxa"/>
              <w:bottom w:w="50" w:type="dxa"/>
              <w:right w:w="50" w:type="dxa"/>
            </w:tcMar>
          </w:tcPr>
          <w:p w:rsidR="003D787C" w:rsidRDefault="003D787C">
            <w:pPr>
              <w:spacing w:line="331" w:lineRule="auto"/>
              <w:ind w:left="150"/>
              <w:rPr>
                <w:rFonts w:ascii="Calibri" w:eastAsia="Calibri" w:hAnsi="Calibri" w:cs="Calibri"/>
                <w:highlight w:val="white"/>
              </w:rPr>
            </w:pPr>
          </w:p>
        </w:tc>
        <w:tc>
          <w:tcPr>
            <w:tcW w:w="304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VP (Facilities &amp; Operations)</w:t>
            </w:r>
          </w:p>
        </w:tc>
        <w:tc>
          <w:tcPr>
            <w:tcW w:w="163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30"/>
              <w:jc w:val="center"/>
              <w:rPr>
                <w:rFonts w:ascii="Calibri" w:eastAsia="Calibri" w:hAnsi="Calibri" w:cs="Calibri"/>
                <w:highlight w:val="white"/>
              </w:rPr>
            </w:pPr>
            <w:r>
              <w:rPr>
                <w:rFonts w:ascii="Calibri" w:eastAsia="Calibri" w:hAnsi="Calibri" w:cs="Calibri"/>
                <w:highlight w:val="white"/>
              </w:rPr>
              <w:t>VFO</w:t>
            </w:r>
          </w:p>
        </w:tc>
      </w:tr>
      <w:tr w:rsidR="003D787C">
        <w:trPr>
          <w:trHeight w:val="420"/>
        </w:trPr>
        <w:tc>
          <w:tcPr>
            <w:tcW w:w="2880"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Medicine &amp; Dentistry</w:t>
            </w:r>
          </w:p>
        </w:tc>
        <w:tc>
          <w:tcPr>
            <w:tcW w:w="175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45"/>
              <w:jc w:val="center"/>
              <w:rPr>
                <w:rFonts w:ascii="Calibri" w:eastAsia="Calibri" w:hAnsi="Calibri" w:cs="Calibri"/>
                <w:highlight w:val="white"/>
              </w:rPr>
            </w:pPr>
            <w:r>
              <w:rPr>
                <w:rFonts w:ascii="Calibri" w:eastAsia="Calibri" w:hAnsi="Calibri" w:cs="Calibri"/>
                <w:highlight w:val="white"/>
              </w:rPr>
              <w:t>MED</w:t>
            </w:r>
          </w:p>
        </w:tc>
        <w:tc>
          <w:tcPr>
            <w:tcW w:w="135" w:type="dxa"/>
            <w:tcBorders>
              <w:top w:val="single" w:sz="4" w:space="0" w:color="70AD47"/>
              <w:left w:val="single" w:sz="4" w:space="0" w:color="70AD47"/>
              <w:bottom w:val="single" w:sz="4" w:space="0" w:color="70AD47"/>
              <w:right w:val="single" w:sz="4" w:space="0" w:color="70AD47"/>
            </w:tcBorders>
            <w:shd w:val="clear" w:color="auto" w:fill="70AD47"/>
            <w:tcMar>
              <w:top w:w="50" w:type="dxa"/>
              <w:left w:w="50" w:type="dxa"/>
              <w:bottom w:w="50" w:type="dxa"/>
              <w:right w:w="50" w:type="dxa"/>
            </w:tcMar>
          </w:tcPr>
          <w:p w:rsidR="003D787C" w:rsidRDefault="003D787C">
            <w:pPr>
              <w:spacing w:line="331" w:lineRule="auto"/>
              <w:ind w:left="150"/>
              <w:rPr>
                <w:rFonts w:ascii="Calibri" w:eastAsia="Calibri" w:hAnsi="Calibri" w:cs="Calibri"/>
                <w:highlight w:val="white"/>
              </w:rPr>
            </w:pPr>
          </w:p>
        </w:tc>
        <w:tc>
          <w:tcPr>
            <w:tcW w:w="304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VP (Finance &amp; Administration)</w:t>
            </w:r>
          </w:p>
        </w:tc>
        <w:tc>
          <w:tcPr>
            <w:tcW w:w="163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30"/>
              <w:jc w:val="center"/>
              <w:rPr>
                <w:rFonts w:ascii="Calibri" w:eastAsia="Calibri" w:hAnsi="Calibri" w:cs="Calibri"/>
                <w:highlight w:val="white"/>
              </w:rPr>
            </w:pPr>
            <w:r>
              <w:rPr>
                <w:rFonts w:ascii="Calibri" w:eastAsia="Calibri" w:hAnsi="Calibri" w:cs="Calibri"/>
                <w:highlight w:val="white"/>
              </w:rPr>
              <w:t>VFA</w:t>
            </w:r>
          </w:p>
        </w:tc>
      </w:tr>
      <w:tr w:rsidR="003D787C">
        <w:trPr>
          <w:trHeight w:val="420"/>
        </w:trPr>
        <w:tc>
          <w:tcPr>
            <w:tcW w:w="2880"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lastRenderedPageBreak/>
              <w:t>Native Studies</w:t>
            </w:r>
          </w:p>
        </w:tc>
        <w:tc>
          <w:tcPr>
            <w:tcW w:w="175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45"/>
              <w:jc w:val="center"/>
              <w:rPr>
                <w:rFonts w:ascii="Calibri" w:eastAsia="Calibri" w:hAnsi="Calibri" w:cs="Calibri"/>
                <w:highlight w:val="white"/>
              </w:rPr>
            </w:pPr>
            <w:r>
              <w:rPr>
                <w:rFonts w:ascii="Calibri" w:eastAsia="Calibri" w:hAnsi="Calibri" w:cs="Calibri"/>
                <w:highlight w:val="white"/>
              </w:rPr>
              <w:t>NAS</w:t>
            </w:r>
          </w:p>
        </w:tc>
        <w:tc>
          <w:tcPr>
            <w:tcW w:w="135" w:type="dxa"/>
            <w:tcBorders>
              <w:top w:val="single" w:sz="4" w:space="0" w:color="70AD47"/>
              <w:left w:val="single" w:sz="4" w:space="0" w:color="70AD47"/>
              <w:bottom w:val="single" w:sz="4" w:space="0" w:color="70AD47"/>
              <w:right w:val="single" w:sz="4" w:space="0" w:color="70AD47"/>
            </w:tcBorders>
            <w:shd w:val="clear" w:color="auto" w:fill="70AD47"/>
            <w:tcMar>
              <w:top w:w="50" w:type="dxa"/>
              <w:left w:w="50" w:type="dxa"/>
              <w:bottom w:w="50" w:type="dxa"/>
              <w:right w:w="50" w:type="dxa"/>
            </w:tcMar>
          </w:tcPr>
          <w:p w:rsidR="003D787C" w:rsidRDefault="003D787C">
            <w:pPr>
              <w:spacing w:line="331" w:lineRule="auto"/>
              <w:ind w:left="150"/>
              <w:rPr>
                <w:rFonts w:ascii="Calibri" w:eastAsia="Calibri" w:hAnsi="Calibri" w:cs="Calibri"/>
                <w:highlight w:val="white"/>
              </w:rPr>
            </w:pPr>
          </w:p>
        </w:tc>
        <w:tc>
          <w:tcPr>
            <w:tcW w:w="304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VP (University Relations)</w:t>
            </w:r>
          </w:p>
        </w:tc>
        <w:tc>
          <w:tcPr>
            <w:tcW w:w="163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30"/>
              <w:jc w:val="center"/>
              <w:rPr>
                <w:rFonts w:ascii="Calibri" w:eastAsia="Calibri" w:hAnsi="Calibri" w:cs="Calibri"/>
                <w:highlight w:val="white"/>
              </w:rPr>
            </w:pPr>
            <w:r>
              <w:rPr>
                <w:rFonts w:ascii="Calibri" w:eastAsia="Calibri" w:hAnsi="Calibri" w:cs="Calibri"/>
                <w:highlight w:val="white"/>
              </w:rPr>
              <w:t>VUR</w:t>
            </w:r>
          </w:p>
        </w:tc>
      </w:tr>
      <w:tr w:rsidR="003D787C">
        <w:trPr>
          <w:trHeight w:val="400"/>
        </w:trPr>
        <w:tc>
          <w:tcPr>
            <w:tcW w:w="2880"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75"/>
              <w:rPr>
                <w:rFonts w:ascii="Calibri" w:eastAsia="Calibri" w:hAnsi="Calibri" w:cs="Calibri"/>
                <w:highlight w:val="white"/>
              </w:rPr>
            </w:pPr>
            <w:r>
              <w:rPr>
                <w:rFonts w:ascii="Calibri" w:eastAsia="Calibri" w:hAnsi="Calibri" w:cs="Calibri"/>
                <w:highlight w:val="white"/>
              </w:rPr>
              <w:t>Non-University</w:t>
            </w:r>
          </w:p>
        </w:tc>
        <w:tc>
          <w:tcPr>
            <w:tcW w:w="175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116E0C">
            <w:pPr>
              <w:spacing w:line="331" w:lineRule="auto"/>
              <w:ind w:left="45"/>
              <w:jc w:val="center"/>
              <w:rPr>
                <w:rFonts w:ascii="Calibri" w:eastAsia="Calibri" w:hAnsi="Calibri" w:cs="Calibri"/>
                <w:highlight w:val="white"/>
              </w:rPr>
            </w:pPr>
            <w:r>
              <w:rPr>
                <w:rFonts w:ascii="Calibri" w:eastAsia="Calibri" w:hAnsi="Calibri" w:cs="Calibri"/>
                <w:highlight w:val="white"/>
              </w:rPr>
              <w:t>NON</w:t>
            </w:r>
          </w:p>
        </w:tc>
        <w:tc>
          <w:tcPr>
            <w:tcW w:w="135" w:type="dxa"/>
            <w:tcBorders>
              <w:top w:val="single" w:sz="4" w:space="0" w:color="70AD47"/>
              <w:left w:val="single" w:sz="4" w:space="0" w:color="70AD47"/>
              <w:bottom w:val="single" w:sz="4" w:space="0" w:color="70AD47"/>
              <w:right w:val="single" w:sz="4" w:space="0" w:color="70AD47"/>
            </w:tcBorders>
            <w:shd w:val="clear" w:color="auto" w:fill="70AD47"/>
            <w:tcMar>
              <w:top w:w="50" w:type="dxa"/>
              <w:left w:w="50" w:type="dxa"/>
              <w:bottom w:w="50" w:type="dxa"/>
              <w:right w:w="50" w:type="dxa"/>
            </w:tcMar>
          </w:tcPr>
          <w:p w:rsidR="003D787C" w:rsidRDefault="003D787C">
            <w:pPr>
              <w:spacing w:line="331" w:lineRule="auto"/>
              <w:ind w:left="150"/>
              <w:rPr>
                <w:rFonts w:ascii="Calibri" w:eastAsia="Calibri" w:hAnsi="Calibri" w:cs="Calibri"/>
                <w:highlight w:val="white"/>
              </w:rPr>
            </w:pPr>
          </w:p>
        </w:tc>
        <w:tc>
          <w:tcPr>
            <w:tcW w:w="304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3D787C">
            <w:pPr>
              <w:spacing w:line="331" w:lineRule="auto"/>
              <w:ind w:left="75"/>
              <w:rPr>
                <w:rFonts w:ascii="Calibri" w:eastAsia="Calibri" w:hAnsi="Calibri" w:cs="Calibri"/>
                <w:highlight w:val="white"/>
              </w:rPr>
            </w:pPr>
          </w:p>
        </w:tc>
        <w:tc>
          <w:tcPr>
            <w:tcW w:w="1635" w:type="dxa"/>
            <w:tcBorders>
              <w:top w:val="single" w:sz="4" w:space="0" w:color="70AD47"/>
              <w:left w:val="single" w:sz="4" w:space="0" w:color="70AD47"/>
              <w:bottom w:val="single" w:sz="4" w:space="0" w:color="70AD47"/>
              <w:right w:val="single" w:sz="4" w:space="0" w:color="70AD47"/>
            </w:tcBorders>
            <w:shd w:val="clear" w:color="auto" w:fill="FFFFFF"/>
            <w:tcMar>
              <w:top w:w="50" w:type="dxa"/>
              <w:left w:w="50" w:type="dxa"/>
              <w:bottom w:w="50" w:type="dxa"/>
              <w:right w:w="50" w:type="dxa"/>
            </w:tcMar>
          </w:tcPr>
          <w:p w:rsidR="003D787C" w:rsidRDefault="003D787C">
            <w:pPr>
              <w:spacing w:line="331" w:lineRule="auto"/>
              <w:ind w:left="-30"/>
              <w:jc w:val="center"/>
              <w:rPr>
                <w:rFonts w:ascii="Calibri" w:eastAsia="Calibri" w:hAnsi="Calibri" w:cs="Calibri"/>
                <w:highlight w:val="white"/>
              </w:rPr>
            </w:pPr>
          </w:p>
        </w:tc>
      </w:tr>
    </w:tbl>
    <w:p w:rsidR="003D787C" w:rsidRDefault="003D787C">
      <w:pPr>
        <w:spacing w:line="240" w:lineRule="auto"/>
      </w:pPr>
    </w:p>
    <w:p w:rsidR="003D787C" w:rsidRDefault="00116E0C">
      <w:pPr>
        <w:numPr>
          <w:ilvl w:val="0"/>
          <w:numId w:val="6"/>
        </w:numPr>
        <w:ind w:hanging="360"/>
        <w:contextualSpacing/>
      </w:pPr>
      <w:r>
        <w:t>Departments/Divisions— write out in full, capitalize/uppercase and use the official name on first reference; lowercase for shortened, subsequent references</w:t>
      </w:r>
    </w:p>
    <w:p w:rsidR="003D787C" w:rsidRDefault="003D787C"/>
    <w:p w:rsidR="003D787C" w:rsidRDefault="00116E0C">
      <w:pPr>
        <w:rPr>
          <w:b/>
        </w:rPr>
      </w:pPr>
      <w:r>
        <w:rPr>
          <w:b/>
        </w:rPr>
        <w:t>Punctuations: Abbreviations, Initialisms &amp; Capitalization</w:t>
      </w:r>
    </w:p>
    <w:p w:rsidR="003D787C" w:rsidRDefault="003D787C">
      <w:pPr>
        <w:rPr>
          <w:b/>
        </w:rPr>
      </w:pPr>
    </w:p>
    <w:p w:rsidR="003D787C" w:rsidRDefault="00116E0C">
      <w:pPr>
        <w:numPr>
          <w:ilvl w:val="0"/>
          <w:numId w:val="1"/>
        </w:numPr>
        <w:ind w:hanging="360"/>
        <w:contextualSpacing/>
      </w:pPr>
      <w:r>
        <w:t>Spell out all words if possible; otherwise, use standard abbreviations (as per the Oxford English Dictionary, Canadian press style guide).</w:t>
      </w:r>
    </w:p>
    <w:p w:rsidR="003D787C" w:rsidRDefault="00116E0C">
      <w:pPr>
        <w:spacing w:line="288" w:lineRule="auto"/>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tbl>
      <w:tblPr>
        <w:tblStyle w:val="a1"/>
        <w:tblW w:w="3990" w:type="dxa"/>
        <w:tblInd w:w="1515" w:type="dxa"/>
        <w:tblLayout w:type="fixed"/>
        <w:tblLook w:val="0600" w:firstRow="0" w:lastRow="0" w:firstColumn="0" w:lastColumn="0" w:noHBand="1" w:noVBand="1"/>
      </w:tblPr>
      <w:tblGrid>
        <w:gridCol w:w="2085"/>
        <w:gridCol w:w="1905"/>
      </w:tblGrid>
      <w:tr w:rsidR="003D787C">
        <w:trPr>
          <w:trHeight w:val="420"/>
        </w:trPr>
        <w:tc>
          <w:tcPr>
            <w:tcW w:w="2085" w:type="dxa"/>
            <w:tcBorders>
              <w:top w:val="single" w:sz="8" w:space="0" w:color="548235"/>
              <w:left w:val="single" w:sz="8" w:space="0" w:color="548235"/>
              <w:bottom w:val="single" w:sz="8" w:space="0" w:color="548235"/>
              <w:right w:val="single" w:sz="8" w:space="0" w:color="548235"/>
            </w:tcBorders>
            <w:shd w:val="clear" w:color="auto" w:fill="70AD47"/>
            <w:tcMar>
              <w:top w:w="50" w:type="dxa"/>
              <w:left w:w="50" w:type="dxa"/>
              <w:bottom w:w="50" w:type="dxa"/>
              <w:right w:w="50" w:type="dxa"/>
            </w:tcMar>
          </w:tcPr>
          <w:p w:rsidR="003D787C" w:rsidRDefault="00116E0C">
            <w:pPr>
              <w:spacing w:line="331" w:lineRule="auto"/>
              <w:ind w:left="75"/>
              <w:rPr>
                <w:rFonts w:ascii="Calibri" w:eastAsia="Calibri" w:hAnsi="Calibri" w:cs="Calibri"/>
                <w:b/>
                <w:sz w:val="24"/>
                <w:szCs w:val="24"/>
                <w:shd w:val="clear" w:color="auto" w:fill="70AD47"/>
              </w:rPr>
            </w:pPr>
            <w:r>
              <w:rPr>
                <w:rFonts w:ascii="Calibri" w:eastAsia="Calibri" w:hAnsi="Calibri" w:cs="Calibri"/>
                <w:b/>
                <w:sz w:val="24"/>
                <w:szCs w:val="24"/>
                <w:shd w:val="clear" w:color="auto" w:fill="70AD47"/>
              </w:rPr>
              <w:t>Word</w:t>
            </w:r>
          </w:p>
        </w:tc>
        <w:tc>
          <w:tcPr>
            <w:tcW w:w="1905" w:type="dxa"/>
            <w:tcBorders>
              <w:top w:val="single" w:sz="8" w:space="0" w:color="548235"/>
              <w:left w:val="single" w:sz="8" w:space="0" w:color="548235"/>
              <w:bottom w:val="single" w:sz="8" w:space="0" w:color="548235"/>
              <w:right w:val="single" w:sz="8" w:space="0" w:color="548235"/>
            </w:tcBorders>
            <w:shd w:val="clear" w:color="auto" w:fill="70AD47"/>
            <w:tcMar>
              <w:top w:w="50" w:type="dxa"/>
              <w:left w:w="50" w:type="dxa"/>
              <w:bottom w:w="50" w:type="dxa"/>
              <w:right w:w="50" w:type="dxa"/>
            </w:tcMar>
          </w:tcPr>
          <w:p w:rsidR="003D787C" w:rsidRDefault="00116E0C">
            <w:pPr>
              <w:spacing w:line="331" w:lineRule="auto"/>
              <w:ind w:left="75"/>
              <w:jc w:val="center"/>
              <w:rPr>
                <w:rFonts w:ascii="Calibri" w:eastAsia="Calibri" w:hAnsi="Calibri" w:cs="Calibri"/>
                <w:b/>
                <w:sz w:val="24"/>
                <w:szCs w:val="24"/>
                <w:shd w:val="clear" w:color="auto" w:fill="70AD47"/>
              </w:rPr>
            </w:pPr>
            <w:r>
              <w:rPr>
                <w:rFonts w:ascii="Calibri" w:eastAsia="Calibri" w:hAnsi="Calibri" w:cs="Calibri"/>
                <w:b/>
                <w:sz w:val="24"/>
                <w:szCs w:val="24"/>
                <w:shd w:val="clear" w:color="auto" w:fill="70AD47"/>
              </w:rPr>
              <w:t>Abbreviation</w:t>
            </w:r>
          </w:p>
        </w:tc>
      </w:tr>
      <w:tr w:rsidR="003D787C">
        <w:trPr>
          <w:trHeight w:val="420"/>
        </w:trPr>
        <w:tc>
          <w:tcPr>
            <w:tcW w:w="2085" w:type="dxa"/>
            <w:tcBorders>
              <w:top w:val="single" w:sz="8" w:space="0" w:color="548235"/>
              <w:left w:val="single" w:sz="8" w:space="0" w:color="548235"/>
              <w:bottom w:val="single" w:sz="8" w:space="0" w:color="548235"/>
              <w:right w:val="single" w:sz="8" w:space="0" w:color="548235"/>
            </w:tcBorders>
            <w:shd w:val="clear" w:color="auto" w:fill="FFFFFF"/>
            <w:tcMar>
              <w:top w:w="50" w:type="dxa"/>
              <w:left w:w="50" w:type="dxa"/>
              <w:bottom w:w="50" w:type="dxa"/>
              <w:right w:w="50" w:type="dxa"/>
            </w:tcMar>
          </w:tcPr>
          <w:p w:rsidR="003D787C" w:rsidRDefault="00116E0C">
            <w:pPr>
              <w:spacing w:line="288" w:lineRule="auto"/>
              <w:ind w:left="75"/>
              <w:rPr>
                <w:rFonts w:ascii="Calibri" w:eastAsia="Calibri" w:hAnsi="Calibri" w:cs="Calibri"/>
                <w:highlight w:val="white"/>
              </w:rPr>
            </w:pPr>
            <w:r>
              <w:rPr>
                <w:rFonts w:ascii="Calibri" w:eastAsia="Calibri" w:hAnsi="Calibri" w:cs="Calibri"/>
                <w:highlight w:val="white"/>
              </w:rPr>
              <w:t>Division</w:t>
            </w:r>
          </w:p>
        </w:tc>
        <w:tc>
          <w:tcPr>
            <w:tcW w:w="1905" w:type="dxa"/>
            <w:tcBorders>
              <w:top w:val="single" w:sz="8" w:space="0" w:color="548235"/>
              <w:left w:val="single" w:sz="8" w:space="0" w:color="548235"/>
              <w:bottom w:val="single" w:sz="8" w:space="0" w:color="548235"/>
              <w:right w:val="single" w:sz="8" w:space="0" w:color="548235"/>
            </w:tcBorders>
            <w:shd w:val="clear" w:color="auto" w:fill="FFFFFF"/>
            <w:tcMar>
              <w:top w:w="50" w:type="dxa"/>
              <w:left w:w="50" w:type="dxa"/>
              <w:bottom w:w="50" w:type="dxa"/>
              <w:right w:w="50" w:type="dxa"/>
            </w:tcMar>
          </w:tcPr>
          <w:p w:rsidR="003D787C" w:rsidRDefault="00116E0C">
            <w:pPr>
              <w:spacing w:line="288" w:lineRule="auto"/>
              <w:ind w:left="120"/>
              <w:jc w:val="center"/>
              <w:rPr>
                <w:rFonts w:ascii="Calibri" w:eastAsia="Calibri" w:hAnsi="Calibri" w:cs="Calibri"/>
                <w:highlight w:val="white"/>
              </w:rPr>
            </w:pPr>
            <w:r>
              <w:rPr>
                <w:rFonts w:ascii="Calibri" w:eastAsia="Calibri" w:hAnsi="Calibri" w:cs="Calibri"/>
                <w:highlight w:val="white"/>
              </w:rPr>
              <w:t>Div</w:t>
            </w:r>
          </w:p>
        </w:tc>
      </w:tr>
      <w:tr w:rsidR="003D787C">
        <w:trPr>
          <w:trHeight w:val="420"/>
        </w:trPr>
        <w:tc>
          <w:tcPr>
            <w:tcW w:w="2085" w:type="dxa"/>
            <w:tcBorders>
              <w:top w:val="single" w:sz="8" w:space="0" w:color="548235"/>
              <w:left w:val="single" w:sz="8" w:space="0" w:color="548235"/>
              <w:bottom w:val="single" w:sz="8" w:space="0" w:color="548235"/>
              <w:right w:val="single" w:sz="8" w:space="0" w:color="548235"/>
            </w:tcBorders>
            <w:shd w:val="clear" w:color="auto" w:fill="FFFFFF"/>
            <w:tcMar>
              <w:top w:w="50" w:type="dxa"/>
              <w:left w:w="50" w:type="dxa"/>
              <w:bottom w:w="50" w:type="dxa"/>
              <w:right w:w="50" w:type="dxa"/>
            </w:tcMar>
          </w:tcPr>
          <w:p w:rsidR="003D787C" w:rsidRDefault="00116E0C">
            <w:pPr>
              <w:spacing w:line="288" w:lineRule="auto"/>
              <w:ind w:left="75"/>
              <w:rPr>
                <w:rFonts w:ascii="Calibri" w:eastAsia="Calibri" w:hAnsi="Calibri" w:cs="Calibri"/>
                <w:highlight w:val="white"/>
              </w:rPr>
            </w:pPr>
            <w:r>
              <w:rPr>
                <w:rFonts w:ascii="Calibri" w:eastAsia="Calibri" w:hAnsi="Calibri" w:cs="Calibri"/>
                <w:highlight w:val="white"/>
              </w:rPr>
              <w:t>Development</w:t>
            </w:r>
          </w:p>
        </w:tc>
        <w:tc>
          <w:tcPr>
            <w:tcW w:w="1905" w:type="dxa"/>
            <w:tcBorders>
              <w:top w:val="single" w:sz="8" w:space="0" w:color="548235"/>
              <w:left w:val="single" w:sz="8" w:space="0" w:color="548235"/>
              <w:bottom w:val="single" w:sz="8" w:space="0" w:color="548235"/>
              <w:right w:val="single" w:sz="8" w:space="0" w:color="548235"/>
            </w:tcBorders>
            <w:shd w:val="clear" w:color="auto" w:fill="FFFFFF"/>
            <w:tcMar>
              <w:top w:w="50" w:type="dxa"/>
              <w:left w:w="50" w:type="dxa"/>
              <w:bottom w:w="50" w:type="dxa"/>
              <w:right w:w="50" w:type="dxa"/>
            </w:tcMar>
          </w:tcPr>
          <w:p w:rsidR="003D787C" w:rsidRDefault="00116E0C">
            <w:pPr>
              <w:spacing w:line="288" w:lineRule="auto"/>
              <w:ind w:left="120"/>
              <w:jc w:val="center"/>
              <w:rPr>
                <w:rFonts w:ascii="Calibri" w:eastAsia="Calibri" w:hAnsi="Calibri" w:cs="Calibri"/>
                <w:highlight w:val="white"/>
              </w:rPr>
            </w:pPr>
            <w:r>
              <w:rPr>
                <w:rFonts w:ascii="Calibri" w:eastAsia="Calibri" w:hAnsi="Calibri" w:cs="Calibri"/>
                <w:highlight w:val="white"/>
              </w:rPr>
              <w:t>Devt</w:t>
            </w:r>
          </w:p>
        </w:tc>
      </w:tr>
      <w:tr w:rsidR="003D787C">
        <w:trPr>
          <w:trHeight w:val="420"/>
        </w:trPr>
        <w:tc>
          <w:tcPr>
            <w:tcW w:w="2085" w:type="dxa"/>
            <w:tcBorders>
              <w:top w:val="single" w:sz="8" w:space="0" w:color="548235"/>
              <w:left w:val="single" w:sz="8" w:space="0" w:color="548235"/>
              <w:bottom w:val="single" w:sz="8" w:space="0" w:color="548235"/>
              <w:right w:val="single" w:sz="8" w:space="0" w:color="548235"/>
            </w:tcBorders>
            <w:shd w:val="clear" w:color="auto" w:fill="FFFFFF"/>
            <w:tcMar>
              <w:top w:w="50" w:type="dxa"/>
              <w:left w:w="50" w:type="dxa"/>
              <w:bottom w:w="50" w:type="dxa"/>
              <w:right w:w="50" w:type="dxa"/>
            </w:tcMar>
          </w:tcPr>
          <w:p w:rsidR="003D787C" w:rsidRDefault="00116E0C">
            <w:pPr>
              <w:spacing w:line="288" w:lineRule="auto"/>
              <w:ind w:left="75"/>
              <w:rPr>
                <w:rFonts w:ascii="Calibri" w:eastAsia="Calibri" w:hAnsi="Calibri" w:cs="Calibri"/>
                <w:highlight w:val="white"/>
              </w:rPr>
            </w:pPr>
            <w:r>
              <w:rPr>
                <w:rFonts w:ascii="Calibri" w:eastAsia="Calibri" w:hAnsi="Calibri" w:cs="Calibri"/>
                <w:highlight w:val="white"/>
              </w:rPr>
              <w:t>University</w:t>
            </w:r>
          </w:p>
        </w:tc>
        <w:tc>
          <w:tcPr>
            <w:tcW w:w="1905" w:type="dxa"/>
            <w:tcBorders>
              <w:top w:val="single" w:sz="8" w:space="0" w:color="548235"/>
              <w:left w:val="single" w:sz="8" w:space="0" w:color="548235"/>
              <w:bottom w:val="single" w:sz="8" w:space="0" w:color="548235"/>
              <w:right w:val="single" w:sz="8" w:space="0" w:color="548235"/>
            </w:tcBorders>
            <w:shd w:val="clear" w:color="auto" w:fill="FFFFFF"/>
            <w:tcMar>
              <w:top w:w="50" w:type="dxa"/>
              <w:left w:w="50" w:type="dxa"/>
              <w:bottom w:w="50" w:type="dxa"/>
              <w:right w:w="50" w:type="dxa"/>
            </w:tcMar>
          </w:tcPr>
          <w:p w:rsidR="003D787C" w:rsidRDefault="00116E0C">
            <w:pPr>
              <w:spacing w:line="288" w:lineRule="auto"/>
              <w:ind w:left="120"/>
              <w:jc w:val="center"/>
              <w:rPr>
                <w:rFonts w:ascii="Calibri" w:eastAsia="Calibri" w:hAnsi="Calibri" w:cs="Calibri"/>
                <w:highlight w:val="white"/>
              </w:rPr>
            </w:pPr>
            <w:r>
              <w:rPr>
                <w:rFonts w:ascii="Calibri" w:eastAsia="Calibri" w:hAnsi="Calibri" w:cs="Calibri"/>
                <w:highlight w:val="white"/>
              </w:rPr>
              <w:t>Univ</w:t>
            </w:r>
          </w:p>
        </w:tc>
      </w:tr>
      <w:tr w:rsidR="003D787C">
        <w:trPr>
          <w:trHeight w:val="420"/>
        </w:trPr>
        <w:tc>
          <w:tcPr>
            <w:tcW w:w="2085" w:type="dxa"/>
            <w:tcBorders>
              <w:top w:val="single" w:sz="8" w:space="0" w:color="548235"/>
              <w:left w:val="single" w:sz="8" w:space="0" w:color="548235"/>
              <w:bottom w:val="single" w:sz="8" w:space="0" w:color="548235"/>
              <w:right w:val="single" w:sz="8" w:space="0" w:color="548235"/>
            </w:tcBorders>
            <w:shd w:val="clear" w:color="auto" w:fill="FFFFFF"/>
            <w:tcMar>
              <w:top w:w="50" w:type="dxa"/>
              <w:left w:w="50" w:type="dxa"/>
              <w:bottom w:w="50" w:type="dxa"/>
              <w:right w:w="50" w:type="dxa"/>
            </w:tcMar>
          </w:tcPr>
          <w:p w:rsidR="003D787C" w:rsidRDefault="00116E0C">
            <w:pPr>
              <w:spacing w:line="288" w:lineRule="auto"/>
              <w:ind w:left="75"/>
              <w:rPr>
                <w:rFonts w:ascii="Calibri" w:eastAsia="Calibri" w:hAnsi="Calibri" w:cs="Calibri"/>
                <w:highlight w:val="white"/>
              </w:rPr>
            </w:pPr>
            <w:r>
              <w:rPr>
                <w:rFonts w:ascii="Calibri" w:eastAsia="Calibri" w:hAnsi="Calibri" w:cs="Calibri"/>
                <w:highlight w:val="white"/>
              </w:rPr>
              <w:t>Faculty</w:t>
            </w:r>
          </w:p>
        </w:tc>
        <w:tc>
          <w:tcPr>
            <w:tcW w:w="1905" w:type="dxa"/>
            <w:tcBorders>
              <w:top w:val="single" w:sz="8" w:space="0" w:color="548235"/>
              <w:left w:val="single" w:sz="8" w:space="0" w:color="548235"/>
              <w:bottom w:val="single" w:sz="8" w:space="0" w:color="548235"/>
              <w:right w:val="single" w:sz="8" w:space="0" w:color="548235"/>
            </w:tcBorders>
            <w:shd w:val="clear" w:color="auto" w:fill="FFFFFF"/>
            <w:tcMar>
              <w:top w:w="50" w:type="dxa"/>
              <w:left w:w="50" w:type="dxa"/>
              <w:bottom w:w="50" w:type="dxa"/>
              <w:right w:w="50" w:type="dxa"/>
            </w:tcMar>
          </w:tcPr>
          <w:p w:rsidR="003D787C" w:rsidRDefault="00116E0C">
            <w:pPr>
              <w:spacing w:line="288" w:lineRule="auto"/>
              <w:ind w:left="120"/>
              <w:jc w:val="center"/>
              <w:rPr>
                <w:rFonts w:ascii="Calibri" w:eastAsia="Calibri" w:hAnsi="Calibri" w:cs="Calibri"/>
                <w:highlight w:val="white"/>
              </w:rPr>
            </w:pPr>
            <w:r>
              <w:rPr>
                <w:rFonts w:ascii="Calibri" w:eastAsia="Calibri" w:hAnsi="Calibri" w:cs="Calibri"/>
                <w:highlight w:val="white"/>
              </w:rPr>
              <w:t>FAC</w:t>
            </w:r>
          </w:p>
        </w:tc>
      </w:tr>
    </w:tbl>
    <w:p w:rsidR="003D787C" w:rsidRDefault="003D787C">
      <w:pPr>
        <w:spacing w:line="240" w:lineRule="auto"/>
      </w:pPr>
    </w:p>
    <w:p w:rsidR="003D787C" w:rsidRDefault="00116E0C">
      <w:pPr>
        <w:numPr>
          <w:ilvl w:val="0"/>
          <w:numId w:val="5"/>
        </w:numPr>
        <w:ind w:hanging="360"/>
        <w:contextualSpacing/>
      </w:pPr>
      <w:r>
        <w:t>Capitalize the first letter of only the official and complete names of colleges, schools, departments, divisions, administrative unit  and offices.  Capitalize when it's clear the reference is to a faculty or department rather than a field or discipline; lowercase the partial or informal version.</w:t>
      </w:r>
    </w:p>
    <w:p w:rsidR="003D787C" w:rsidRDefault="003D787C"/>
    <w:p w:rsidR="003D787C" w:rsidRDefault="003D787C">
      <w:pPr>
        <w:spacing w:line="240" w:lineRule="auto"/>
        <w:rPr>
          <w:rFonts w:ascii="Calibri" w:eastAsia="Calibri" w:hAnsi="Calibri" w:cs="Calibri"/>
        </w:rPr>
      </w:pPr>
    </w:p>
    <w:p w:rsidR="003D787C" w:rsidRDefault="00116E0C">
      <w:pPr>
        <w:spacing w:line="240" w:lineRule="auto"/>
      </w:pPr>
      <w:r>
        <w:t>Examples:</w:t>
      </w:r>
    </w:p>
    <w:tbl>
      <w:tblPr>
        <w:tblStyle w:val="a2"/>
        <w:tblW w:w="9450" w:type="dxa"/>
        <w:tblInd w:w="15" w:type="dxa"/>
        <w:tblLayout w:type="fixed"/>
        <w:tblLook w:val="0600" w:firstRow="0" w:lastRow="0" w:firstColumn="0" w:lastColumn="0" w:noHBand="1" w:noVBand="1"/>
      </w:tblPr>
      <w:tblGrid>
        <w:gridCol w:w="2775"/>
        <w:gridCol w:w="3630"/>
        <w:gridCol w:w="3045"/>
      </w:tblGrid>
      <w:tr w:rsidR="003D787C">
        <w:trPr>
          <w:trHeight w:val="420"/>
        </w:trPr>
        <w:tc>
          <w:tcPr>
            <w:tcW w:w="2775" w:type="dxa"/>
            <w:tcBorders>
              <w:top w:val="single" w:sz="8" w:space="0" w:color="70AD47"/>
              <w:left w:val="single" w:sz="8" w:space="0" w:color="70AD47"/>
              <w:bottom w:val="single" w:sz="8" w:space="0" w:color="70AD47"/>
              <w:right w:val="single" w:sz="8" w:space="0" w:color="70AD47"/>
            </w:tcBorders>
            <w:shd w:val="clear" w:color="auto" w:fill="FFFFFF"/>
            <w:tcMar>
              <w:top w:w="50" w:type="dxa"/>
              <w:left w:w="50" w:type="dxa"/>
              <w:bottom w:w="50" w:type="dxa"/>
              <w:right w:w="50" w:type="dxa"/>
            </w:tcMar>
          </w:tcPr>
          <w:p w:rsidR="003D787C" w:rsidRDefault="00116E0C">
            <w:pPr>
              <w:spacing w:line="288" w:lineRule="auto"/>
              <w:ind w:left="75"/>
              <w:rPr>
                <w:highlight w:val="white"/>
              </w:rPr>
            </w:pPr>
            <w:r>
              <w:rPr>
                <w:b/>
                <w:highlight w:val="white"/>
              </w:rPr>
              <w:t>D</w:t>
            </w:r>
            <w:r>
              <w:rPr>
                <w:highlight w:val="white"/>
              </w:rPr>
              <w:t xml:space="preserve">epartment of </w:t>
            </w:r>
            <w:r>
              <w:rPr>
                <w:b/>
                <w:highlight w:val="white"/>
              </w:rPr>
              <w:t>S</w:t>
            </w:r>
            <w:r>
              <w:rPr>
                <w:highlight w:val="white"/>
              </w:rPr>
              <w:t>ociology</w:t>
            </w:r>
          </w:p>
        </w:tc>
        <w:tc>
          <w:tcPr>
            <w:tcW w:w="3630" w:type="dxa"/>
            <w:tcBorders>
              <w:top w:val="single" w:sz="8" w:space="0" w:color="70AD47"/>
              <w:left w:val="single" w:sz="8" w:space="0" w:color="70AD47"/>
              <w:bottom w:val="single" w:sz="8" w:space="0" w:color="70AD47"/>
              <w:right w:val="single" w:sz="8" w:space="0" w:color="70AD47"/>
            </w:tcBorders>
            <w:shd w:val="clear" w:color="auto" w:fill="FFFFFF"/>
            <w:tcMar>
              <w:top w:w="50" w:type="dxa"/>
              <w:left w:w="50" w:type="dxa"/>
              <w:bottom w:w="50" w:type="dxa"/>
              <w:right w:w="50" w:type="dxa"/>
            </w:tcMar>
          </w:tcPr>
          <w:p w:rsidR="003D787C" w:rsidRDefault="00116E0C">
            <w:pPr>
              <w:spacing w:line="288" w:lineRule="auto"/>
              <w:ind w:left="90"/>
              <w:rPr>
                <w:highlight w:val="white"/>
              </w:rPr>
            </w:pPr>
            <w:r>
              <w:rPr>
                <w:b/>
                <w:highlight w:val="white"/>
              </w:rPr>
              <w:t>S</w:t>
            </w:r>
            <w:r>
              <w:rPr>
                <w:highlight w:val="white"/>
              </w:rPr>
              <w:t xml:space="preserve">chool of </w:t>
            </w:r>
            <w:r>
              <w:rPr>
                <w:b/>
                <w:highlight w:val="white"/>
              </w:rPr>
              <w:t>M</w:t>
            </w:r>
            <w:r>
              <w:rPr>
                <w:highlight w:val="white"/>
              </w:rPr>
              <w:t xml:space="preserve">echanical </w:t>
            </w:r>
            <w:r>
              <w:rPr>
                <w:b/>
                <w:highlight w:val="white"/>
              </w:rPr>
              <w:t>E</w:t>
            </w:r>
            <w:r>
              <w:rPr>
                <w:highlight w:val="white"/>
              </w:rPr>
              <w:t>ngineering</w:t>
            </w:r>
          </w:p>
        </w:tc>
        <w:tc>
          <w:tcPr>
            <w:tcW w:w="3045" w:type="dxa"/>
            <w:tcBorders>
              <w:top w:val="single" w:sz="8" w:space="0" w:color="70AD47"/>
              <w:left w:val="single" w:sz="8" w:space="0" w:color="70AD47"/>
              <w:bottom w:val="single" w:sz="8" w:space="0" w:color="70AD47"/>
              <w:right w:val="single" w:sz="8" w:space="0" w:color="70AD47"/>
            </w:tcBorders>
            <w:shd w:val="clear" w:color="auto" w:fill="FFFFFF"/>
            <w:tcMar>
              <w:top w:w="50" w:type="dxa"/>
              <w:left w:w="50" w:type="dxa"/>
              <w:bottom w:w="50" w:type="dxa"/>
              <w:right w:w="50" w:type="dxa"/>
            </w:tcMar>
          </w:tcPr>
          <w:p w:rsidR="003D787C" w:rsidRDefault="00116E0C">
            <w:pPr>
              <w:spacing w:line="288" w:lineRule="auto"/>
              <w:ind w:left="105"/>
              <w:rPr>
                <w:highlight w:val="white"/>
              </w:rPr>
            </w:pPr>
            <w:r>
              <w:rPr>
                <w:b/>
                <w:highlight w:val="white"/>
              </w:rPr>
              <w:t>H</w:t>
            </w:r>
            <w:r>
              <w:rPr>
                <w:highlight w:val="white"/>
              </w:rPr>
              <w:t xml:space="preserve">uman </w:t>
            </w:r>
            <w:r>
              <w:rPr>
                <w:b/>
                <w:highlight w:val="white"/>
              </w:rPr>
              <w:t>R</w:t>
            </w:r>
            <w:r>
              <w:rPr>
                <w:highlight w:val="white"/>
              </w:rPr>
              <w:t xml:space="preserve">esource </w:t>
            </w:r>
            <w:r>
              <w:rPr>
                <w:b/>
                <w:highlight w:val="white"/>
              </w:rPr>
              <w:t>S</w:t>
            </w:r>
            <w:r>
              <w:rPr>
                <w:highlight w:val="white"/>
              </w:rPr>
              <w:t>ervices</w:t>
            </w:r>
          </w:p>
        </w:tc>
      </w:tr>
    </w:tbl>
    <w:p w:rsidR="003D787C" w:rsidRDefault="00116E0C">
      <w:pPr>
        <w:pStyle w:val="Heading2"/>
        <w:spacing w:line="360" w:lineRule="auto"/>
        <w:contextualSpacing w:val="0"/>
      </w:pPr>
      <w:bookmarkStart w:id="11" w:name="_ninqtxs35j3c" w:colFirst="0" w:colLast="0"/>
      <w:bookmarkEnd w:id="11"/>
      <w:r>
        <w:t>Long Name</w:t>
      </w:r>
    </w:p>
    <w:p w:rsidR="003D787C" w:rsidRDefault="00116E0C">
      <w:pPr>
        <w:spacing w:line="240" w:lineRule="auto"/>
      </w:pPr>
      <w:r>
        <w:t>The Long Name fields is used to expand on the Department Name field. This field allows for a description that is 100 characters including spaces. This name appears on some HCM Reports and can be used in other HR applications.</w:t>
      </w:r>
    </w:p>
    <w:p w:rsidR="003D787C" w:rsidRDefault="00116E0C">
      <w:pPr>
        <w:pStyle w:val="Heading2"/>
        <w:spacing w:line="360" w:lineRule="auto"/>
        <w:contextualSpacing w:val="0"/>
      </w:pPr>
      <w:bookmarkStart w:id="12" w:name="_maa79ko9e9tw" w:colFirst="0" w:colLast="0"/>
      <w:bookmarkEnd w:id="12"/>
      <w:r>
        <w:t>Manager ID</w:t>
      </w:r>
    </w:p>
    <w:p w:rsidR="003D787C" w:rsidRDefault="00116E0C">
      <w:pPr>
        <w:spacing w:line="240" w:lineRule="auto"/>
      </w:pPr>
      <w:r>
        <w:t>The Manager ID field identifies the budget owner of the deptID by their Employee ID (also referred to as EMPLID).  There are several uses for this field.</w:t>
      </w:r>
    </w:p>
    <w:p w:rsidR="003D787C" w:rsidRDefault="003D787C">
      <w:pPr>
        <w:spacing w:line="240" w:lineRule="auto"/>
      </w:pPr>
    </w:p>
    <w:p w:rsidR="003D787C" w:rsidRDefault="00116E0C">
      <w:pPr>
        <w:spacing w:line="240" w:lineRule="auto"/>
      </w:pPr>
      <w:r>
        <w:t xml:space="preserve">In Financials, Manager ID identifies the budget owner. </w:t>
      </w:r>
    </w:p>
    <w:p w:rsidR="003D787C" w:rsidRDefault="003D787C">
      <w:pPr>
        <w:spacing w:line="240" w:lineRule="auto"/>
      </w:pPr>
    </w:p>
    <w:p w:rsidR="003D787C" w:rsidRDefault="00116E0C">
      <w:pPr>
        <w:spacing w:line="240" w:lineRule="auto"/>
      </w:pPr>
      <w:r>
        <w:lastRenderedPageBreak/>
        <w:t>In HCM, the Manager ID is used as a backup approval for Time and Labour. Approvals are first routed to an employee's Supervisor, but in cases where the supervisor is no longer active, the approval is routed to the Department Manager.</w:t>
      </w:r>
    </w:p>
    <w:p w:rsidR="003D787C" w:rsidRDefault="003D787C">
      <w:pPr>
        <w:spacing w:line="240" w:lineRule="auto"/>
      </w:pPr>
    </w:p>
    <w:p w:rsidR="003D787C" w:rsidRDefault="00116E0C">
      <w:pPr>
        <w:spacing w:line="240" w:lineRule="auto"/>
      </w:pPr>
      <w:r>
        <w:t>In HCM deptIDs are also used for organizational purposes, and employees may be paid by different departments.  The routing will follow the Organizational Department on the Job record, not the financial record.</w:t>
      </w:r>
    </w:p>
    <w:p w:rsidR="003D787C" w:rsidRDefault="003D787C">
      <w:pPr>
        <w:spacing w:line="240" w:lineRule="auto"/>
      </w:pPr>
    </w:p>
    <w:p w:rsidR="003D787C" w:rsidRDefault="00116E0C">
      <w:pPr>
        <w:spacing w:line="240" w:lineRule="auto"/>
        <w:ind w:left="1260" w:hanging="1170"/>
      </w:pPr>
      <w:r>
        <w:rPr>
          <w:b/>
          <w:color w:val="980000"/>
        </w:rPr>
        <w:t>Important!</w:t>
      </w:r>
      <w:r>
        <w:rPr>
          <w:color w:val="980000"/>
        </w:rPr>
        <w:t>:</w:t>
      </w:r>
      <w:r>
        <w:t xml:space="preserve"> The Manager ID must be an active Employee as of the effective date of the deptID.  </w:t>
      </w:r>
    </w:p>
    <w:p w:rsidR="003D787C" w:rsidRDefault="003D787C">
      <w:pPr>
        <w:spacing w:line="240" w:lineRule="auto"/>
      </w:pPr>
    </w:p>
    <w:p w:rsidR="003D787C" w:rsidRDefault="00116E0C">
      <w:pPr>
        <w:spacing w:line="240" w:lineRule="auto"/>
        <w:ind w:left="1260"/>
      </w:pPr>
      <w:r>
        <w:t>When setting up a new deptID, the effective date is April 1 of the fiscal year.  If the Budget Owner started employment on May 1, you must assign another person who was active from April 1 - April 30 to be the Manager.  Then a change would be submitted effective May 1, with the New Employee as the budget owner.</w:t>
      </w:r>
    </w:p>
    <w:p w:rsidR="003D787C" w:rsidRDefault="003D787C">
      <w:pPr>
        <w:spacing w:line="240" w:lineRule="auto"/>
      </w:pPr>
    </w:p>
    <w:p w:rsidR="003D787C" w:rsidRDefault="003D787C">
      <w:pPr>
        <w:spacing w:line="240" w:lineRule="auto"/>
        <w:ind w:left="360"/>
      </w:pPr>
    </w:p>
    <w:p w:rsidR="003D787C" w:rsidRDefault="00116E0C">
      <w:pPr>
        <w:pStyle w:val="Heading1"/>
        <w:spacing w:line="240" w:lineRule="auto"/>
        <w:contextualSpacing w:val="0"/>
      </w:pPr>
      <w:bookmarkStart w:id="13" w:name="_q9gxvyyv6cuo" w:colFirst="0" w:colLast="0"/>
      <w:bookmarkEnd w:id="13"/>
      <w:r>
        <w:t xml:space="preserve">DeptID Security  </w:t>
      </w:r>
    </w:p>
    <w:p w:rsidR="003D787C" w:rsidRDefault="003D787C"/>
    <w:p w:rsidR="003D787C" w:rsidRDefault="00116E0C">
      <w:pPr>
        <w:spacing w:line="240" w:lineRule="auto"/>
      </w:pPr>
      <w:r>
        <w:t>HCM uses security levels to ensure that sensitive employee information such as salaries, social insurance numbers, birthdates and other demographic and job data is secure.  This is accomplished through the Department Security Tree.</w:t>
      </w:r>
    </w:p>
    <w:p w:rsidR="003D787C" w:rsidRDefault="003D787C">
      <w:pPr>
        <w:spacing w:line="240" w:lineRule="auto"/>
      </w:pPr>
    </w:p>
    <w:p w:rsidR="003D787C" w:rsidRDefault="00116E0C">
      <w:pPr>
        <w:spacing w:line="240" w:lineRule="auto"/>
      </w:pPr>
      <w:r>
        <w:t>Each deptID is added to the Department Security Tree and must fall under an existing deptID called the parent deptID.  By default the parent deptID will have access to view employees in any deptID below them, commonly known as child deptIDs.  If a deptID is not in the tree, employees in the department will not be visible to anyone.</w:t>
      </w:r>
    </w:p>
    <w:p w:rsidR="003D787C" w:rsidRDefault="003D787C">
      <w:pPr>
        <w:spacing w:line="240" w:lineRule="auto"/>
      </w:pPr>
    </w:p>
    <w:p w:rsidR="003D787C" w:rsidRDefault="00116E0C">
      <w:pPr>
        <w:spacing w:line="240" w:lineRule="auto"/>
      </w:pPr>
      <w:r>
        <w:t>HCM users may have access to one or more deptID levels and, by default, the associated child deptIDs. For this reason, security and access should be carefully considered when selecting a parent deptID to where the new deptID will be attached.</w:t>
      </w:r>
    </w:p>
    <w:p w:rsidR="003D787C" w:rsidRDefault="003D787C">
      <w:pPr>
        <w:pStyle w:val="Heading1"/>
        <w:spacing w:line="240" w:lineRule="auto"/>
        <w:contextualSpacing w:val="0"/>
      </w:pPr>
      <w:bookmarkStart w:id="14" w:name="_733tawgy2dv4" w:colFirst="0" w:colLast="0"/>
      <w:bookmarkEnd w:id="14"/>
    </w:p>
    <w:p w:rsidR="003D787C" w:rsidRDefault="003D787C">
      <w:pPr>
        <w:pStyle w:val="Heading1"/>
        <w:spacing w:line="240" w:lineRule="auto"/>
        <w:contextualSpacing w:val="0"/>
      </w:pPr>
      <w:bookmarkStart w:id="15" w:name="_b5e174jn52g4" w:colFirst="0" w:colLast="0"/>
      <w:bookmarkEnd w:id="15"/>
    </w:p>
    <w:p w:rsidR="003D787C" w:rsidRDefault="00116E0C">
      <w:pPr>
        <w:pStyle w:val="Heading1"/>
        <w:spacing w:line="240" w:lineRule="auto"/>
        <w:contextualSpacing w:val="0"/>
      </w:pPr>
      <w:bookmarkStart w:id="16" w:name="_bsbil3t7h5a0" w:colFirst="0" w:colLast="0"/>
      <w:bookmarkEnd w:id="16"/>
      <w:r>
        <w:t>DeptID Request Approvals</w:t>
      </w:r>
    </w:p>
    <w:p w:rsidR="003D787C" w:rsidRDefault="003D787C">
      <w:pPr>
        <w:spacing w:line="240" w:lineRule="auto"/>
      </w:pPr>
    </w:p>
    <w:p w:rsidR="003D787C" w:rsidRDefault="00116E0C">
      <w:pPr>
        <w:spacing w:line="240" w:lineRule="auto"/>
      </w:pPr>
      <w:r>
        <w:t>Senior Financial Officer (SFO) from Faculties and Central Services Units are authorized to request a new deptID, Change deptID or Inactivate a deptID.</w:t>
      </w:r>
    </w:p>
    <w:p w:rsidR="003D787C" w:rsidRDefault="003D787C">
      <w:pPr>
        <w:spacing w:line="240" w:lineRule="auto"/>
      </w:pPr>
    </w:p>
    <w:p w:rsidR="003D787C" w:rsidRDefault="00116E0C">
      <w:pPr>
        <w:spacing w:line="240" w:lineRule="auto"/>
      </w:pPr>
      <w:r>
        <w:t xml:space="preserve">Financial Services (FS) will review and approve any request by the SFO and if approved the forms will be sent to HRS for further action.  If FS has any questions, they will contact the SFO. </w:t>
      </w:r>
    </w:p>
    <w:p w:rsidR="003D787C" w:rsidRDefault="003D787C">
      <w:pPr>
        <w:spacing w:line="240" w:lineRule="auto"/>
      </w:pPr>
    </w:p>
    <w:p w:rsidR="003D787C" w:rsidRDefault="00116E0C">
      <w:pPr>
        <w:spacing w:line="240" w:lineRule="auto"/>
      </w:pPr>
      <w:r>
        <w:t>Human Resource Services (HRS) will review and complete the form for the HRS input fields and add to PeopleSoft. If HRS has any questions, they will contact the SFO.</w:t>
      </w:r>
    </w:p>
    <w:p w:rsidR="003D787C" w:rsidRDefault="003D787C">
      <w:pPr>
        <w:spacing w:line="240" w:lineRule="auto"/>
      </w:pPr>
    </w:p>
    <w:p w:rsidR="003D787C" w:rsidRDefault="00116E0C">
      <w:pPr>
        <w:spacing w:line="240" w:lineRule="auto"/>
      </w:pPr>
      <w:r>
        <w:t>IST will create new departments in HCM, which will sync to FS and CS. In addition IST will make any Department Security Tree changes. IST will notify FS, HCM and CS. At this point, FS will add new departments to Financials Department Trees (e.g. COA_DEPT_DETAIL).</w:t>
      </w:r>
    </w:p>
    <w:p w:rsidR="003D787C" w:rsidRDefault="00116E0C">
      <w:r>
        <w:t xml:space="preserve"> </w:t>
      </w:r>
    </w:p>
    <w:p w:rsidR="003D787C" w:rsidRDefault="00116E0C">
      <w:r>
        <w:t>New deptIDs or changes to deptIDs will be processed with 10 business days. FS or HRS will contact the SFO if this deadline cannot be met.</w:t>
      </w:r>
    </w:p>
    <w:p w:rsidR="003D787C" w:rsidRDefault="00116E0C">
      <w:pPr>
        <w:pStyle w:val="Heading1"/>
        <w:spacing w:line="240" w:lineRule="auto"/>
        <w:contextualSpacing w:val="0"/>
      </w:pPr>
      <w:bookmarkStart w:id="17" w:name="_k2y9u5uk84qq" w:colFirst="0" w:colLast="0"/>
      <w:bookmarkStart w:id="18" w:name="_54sw98n8mj75" w:colFirst="0" w:colLast="0"/>
      <w:bookmarkStart w:id="19" w:name="_GoBack"/>
      <w:bookmarkEnd w:id="17"/>
      <w:bookmarkEnd w:id="18"/>
      <w:bookmarkEnd w:id="19"/>
      <w:r>
        <w:br w:type="page"/>
      </w:r>
    </w:p>
    <w:p w:rsidR="003D787C" w:rsidRDefault="00116E0C">
      <w:pPr>
        <w:pStyle w:val="Heading1"/>
        <w:spacing w:line="240" w:lineRule="auto"/>
        <w:contextualSpacing w:val="0"/>
      </w:pPr>
      <w:bookmarkStart w:id="20" w:name="_j6xmg8blbq35" w:colFirst="0" w:colLast="0"/>
      <w:bookmarkEnd w:id="20"/>
      <w:r>
        <w:lastRenderedPageBreak/>
        <w:t>Contact Information</w:t>
      </w:r>
    </w:p>
    <w:p w:rsidR="003D787C" w:rsidRDefault="003D787C">
      <w:pPr>
        <w:spacing w:line="240" w:lineRule="auto"/>
      </w:pPr>
    </w:p>
    <w:p w:rsidR="003D787C" w:rsidRDefault="00116E0C">
      <w:pPr>
        <w:spacing w:line="240" w:lineRule="auto"/>
      </w:pPr>
      <w:r>
        <w:t xml:space="preserve">For questions regarding this document, contact your HR Contact: </w:t>
      </w:r>
      <w:hyperlink r:id="rId7">
        <w:r>
          <w:rPr>
            <w:color w:val="1155CC"/>
            <w:u w:val="single"/>
          </w:rPr>
          <w:t>http://www.hrs.ualberta.ca/FindYourHRContact.aspx</w:t>
        </w:r>
      </w:hyperlink>
    </w:p>
    <w:p w:rsidR="003D787C" w:rsidRDefault="003D787C">
      <w:pPr>
        <w:spacing w:line="240" w:lineRule="auto"/>
      </w:pPr>
    </w:p>
    <w:p w:rsidR="003D787C" w:rsidRDefault="00116E0C">
      <w:r>
        <w:t xml:space="preserve">For further information on Financials deptID, refer to Guide Chapter 4: Chart of Accounts (COA): </w:t>
      </w:r>
      <w:hyperlink r:id="rId8">
        <w:r>
          <w:rPr>
            <w:color w:val="1155CC"/>
            <w:u w:val="single"/>
          </w:rPr>
          <w:t>http://www.financial.ualberta.ca/GuideToFinancialManagement.aspx</w:t>
        </w:r>
      </w:hyperlink>
    </w:p>
    <w:p w:rsidR="003D787C" w:rsidRDefault="003D787C"/>
    <w:p w:rsidR="003D787C" w:rsidRDefault="00116E0C" w:rsidP="00EF5FCE">
      <w:r>
        <w:t xml:space="preserve">The COA deptID forms can be found on Financial Services Forms Cabinet: </w:t>
      </w:r>
      <w:hyperlink r:id="rId9">
        <w:r>
          <w:rPr>
            <w:color w:val="1155CC"/>
            <w:u w:val="single"/>
          </w:rPr>
          <w:t>http://www.financial.ualberta.ca/FormsCabinet.aspx</w:t>
        </w:r>
      </w:hyperlink>
    </w:p>
    <w:sectPr w:rsidR="003D787C">
      <w:headerReference w:type="default" r:id="rId10"/>
      <w:footerReference w:type="default" r:id="rId11"/>
      <w:headerReference w:type="first" r:id="rId12"/>
      <w:footerReference w:type="first" r:id="rId13"/>
      <w:pgSz w:w="12240" w:h="15840"/>
      <w:pgMar w:top="144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0CD" w:rsidRDefault="00116E0C">
      <w:pPr>
        <w:spacing w:line="240" w:lineRule="auto"/>
      </w:pPr>
      <w:r>
        <w:separator/>
      </w:r>
    </w:p>
  </w:endnote>
  <w:endnote w:type="continuationSeparator" w:id="0">
    <w:p w:rsidR="000030CD" w:rsidRDefault="00116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7C" w:rsidRDefault="00116E0C">
    <w:pPr>
      <w:spacing w:line="240" w:lineRule="auto"/>
      <w:jc w:val="right"/>
    </w:pPr>
    <w:r>
      <w:fldChar w:fldCharType="begin"/>
    </w:r>
    <w:r>
      <w:instrText>PAGE</w:instrText>
    </w:r>
    <w:r>
      <w:fldChar w:fldCharType="separate"/>
    </w:r>
    <w:r w:rsidR="00DE0019">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7C" w:rsidRDefault="00116E0C">
    <w:pPr>
      <w:jc w:val="right"/>
    </w:pPr>
    <w:r>
      <w:fldChar w:fldCharType="begin"/>
    </w:r>
    <w:r>
      <w:instrText>PAGE</w:instrText>
    </w:r>
    <w:r>
      <w:fldChar w:fldCharType="separate"/>
    </w:r>
    <w:r w:rsidR="00DE001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0CD" w:rsidRDefault="00116E0C">
      <w:pPr>
        <w:spacing w:line="240" w:lineRule="auto"/>
      </w:pPr>
      <w:r>
        <w:separator/>
      </w:r>
    </w:p>
  </w:footnote>
  <w:footnote w:type="continuationSeparator" w:id="0">
    <w:p w:rsidR="000030CD" w:rsidRDefault="00116E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7C" w:rsidRDefault="00116E0C">
    <w:pPr>
      <w:jc w:val="right"/>
    </w:pPr>
    <w:r>
      <w:rPr>
        <w:noProof/>
        <w:lang w:val="en-CA" w:eastAsia="en-CA"/>
      </w:rPr>
      <w:drawing>
        <wp:anchor distT="114300" distB="114300" distL="114300" distR="114300" simplePos="0" relativeHeight="251658240" behindDoc="0" locked="0" layoutInCell="0" hidden="0" allowOverlap="1">
          <wp:simplePos x="0" y="0"/>
          <wp:positionH relativeFrom="margin">
            <wp:posOffset>3302698</wp:posOffset>
          </wp:positionH>
          <wp:positionV relativeFrom="paragraph">
            <wp:posOffset>-26478</wp:posOffset>
          </wp:positionV>
          <wp:extent cx="2643188" cy="679152"/>
          <wp:effectExtent l="0" t="0" r="0" b="0"/>
          <wp:wrapSquare wrapText="bothSides" distT="114300" distB="114300" distL="114300" distR="114300"/>
          <wp:docPr id="1" name="image2.jpg" descr="UA-HRS-COLOUR.jpg"/>
          <wp:cNvGraphicFramePr/>
          <a:graphic xmlns:a="http://schemas.openxmlformats.org/drawingml/2006/main">
            <a:graphicData uri="http://schemas.openxmlformats.org/drawingml/2006/picture">
              <pic:pic xmlns:pic="http://schemas.openxmlformats.org/drawingml/2006/picture">
                <pic:nvPicPr>
                  <pic:cNvPr id="0" name="image2.jpg" descr="UA-HRS-COLOUR.jpg"/>
                  <pic:cNvPicPr preferRelativeResize="0"/>
                </pic:nvPicPr>
                <pic:blipFill>
                  <a:blip r:embed="rId1"/>
                  <a:srcRect/>
                  <a:stretch>
                    <a:fillRect/>
                  </a:stretch>
                </pic:blipFill>
                <pic:spPr>
                  <a:xfrm>
                    <a:off x="0" y="0"/>
                    <a:ext cx="2643188" cy="679152"/>
                  </a:xfrm>
                  <a:prstGeom prst="rect">
                    <a:avLst/>
                  </a:prstGeom>
                  <a:ln/>
                </pic:spPr>
              </pic:pic>
            </a:graphicData>
          </a:graphic>
        </wp:anchor>
      </w:drawing>
    </w:r>
  </w:p>
  <w:p w:rsidR="003D787C" w:rsidRDefault="003D787C">
    <w:pPr>
      <w:jc w:val="right"/>
    </w:pPr>
  </w:p>
  <w:p w:rsidR="003D787C" w:rsidRDefault="003D787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7C" w:rsidRDefault="00116E0C">
    <w:pPr>
      <w:jc w:val="right"/>
      <w:rPr>
        <w:rFonts w:ascii="Cambria" w:eastAsia="Cambria" w:hAnsi="Cambria" w:cs="Cambria"/>
        <w:b/>
        <w:sz w:val="36"/>
        <w:szCs w:val="36"/>
      </w:rPr>
    </w:pPr>
    <w:r>
      <w:rPr>
        <w:noProof/>
        <w:lang w:val="en-CA" w:eastAsia="en-CA"/>
      </w:rPr>
      <w:drawing>
        <wp:anchor distT="114300" distB="114300" distL="114300" distR="114300" simplePos="0" relativeHeight="251659264" behindDoc="0" locked="0" layoutInCell="0" hidden="0" allowOverlap="1">
          <wp:simplePos x="0" y="0"/>
          <wp:positionH relativeFrom="margin">
            <wp:posOffset>-561974</wp:posOffset>
          </wp:positionH>
          <wp:positionV relativeFrom="paragraph">
            <wp:posOffset>-34575</wp:posOffset>
          </wp:positionV>
          <wp:extent cx="2643188" cy="679152"/>
          <wp:effectExtent l="0" t="0" r="0" b="0"/>
          <wp:wrapSquare wrapText="bothSides" distT="114300" distB="114300" distL="114300" distR="114300"/>
          <wp:docPr id="2" name="image3.jpg" descr="UA-HRS-COLOUR.jpg"/>
          <wp:cNvGraphicFramePr/>
          <a:graphic xmlns:a="http://schemas.openxmlformats.org/drawingml/2006/main">
            <a:graphicData uri="http://schemas.openxmlformats.org/drawingml/2006/picture">
              <pic:pic xmlns:pic="http://schemas.openxmlformats.org/drawingml/2006/picture">
                <pic:nvPicPr>
                  <pic:cNvPr id="0" name="image3.jpg" descr="UA-HRS-COLOUR.jpg"/>
                  <pic:cNvPicPr preferRelativeResize="0"/>
                </pic:nvPicPr>
                <pic:blipFill>
                  <a:blip r:embed="rId1"/>
                  <a:srcRect/>
                  <a:stretch>
                    <a:fillRect/>
                  </a:stretch>
                </pic:blipFill>
                <pic:spPr>
                  <a:xfrm>
                    <a:off x="0" y="0"/>
                    <a:ext cx="2643188" cy="679152"/>
                  </a:xfrm>
                  <a:prstGeom prst="rect">
                    <a:avLst/>
                  </a:prstGeom>
                  <a:ln/>
                </pic:spPr>
              </pic:pic>
            </a:graphicData>
          </a:graphic>
        </wp:anchor>
      </w:drawing>
    </w:r>
  </w:p>
  <w:p w:rsidR="003D787C" w:rsidRDefault="003D78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0446A"/>
    <w:multiLevelType w:val="multilevel"/>
    <w:tmpl w:val="CC125738"/>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16F0E51"/>
    <w:multiLevelType w:val="multilevel"/>
    <w:tmpl w:val="FBF6BA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4A0F5CA1"/>
    <w:multiLevelType w:val="multilevel"/>
    <w:tmpl w:val="8CEA5F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C7B5B28"/>
    <w:multiLevelType w:val="multilevel"/>
    <w:tmpl w:val="911AF59E"/>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5146D8E"/>
    <w:multiLevelType w:val="multilevel"/>
    <w:tmpl w:val="49521B6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55D4F3A"/>
    <w:multiLevelType w:val="multilevel"/>
    <w:tmpl w:val="6D5824D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787C"/>
    <w:rsid w:val="000030CD"/>
    <w:rsid w:val="00116E0C"/>
    <w:rsid w:val="00244F97"/>
    <w:rsid w:val="003D787C"/>
    <w:rsid w:val="00DE0019"/>
    <w:rsid w:val="00EF5FCE"/>
    <w:rsid w:val="00F2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B8D1E-8EFD-47FA-A3CE-D62B93C1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contextualSpacing/>
      <w:outlineLvl w:val="0"/>
    </w:pPr>
    <w:rPr>
      <w:b/>
      <w:sz w:val="28"/>
      <w:szCs w:val="28"/>
    </w:rPr>
  </w:style>
  <w:style w:type="paragraph" w:styleId="Heading2">
    <w:name w:val="heading 2"/>
    <w:basedOn w:val="Normal"/>
    <w:next w:val="Normal"/>
    <w:pPr>
      <w:keepNext/>
      <w:keepLines/>
      <w:spacing w:before="360" w:after="120"/>
      <w:contextualSpacing/>
      <w:outlineLvl w:val="1"/>
    </w:pPr>
    <w:rPr>
      <w:u w:val="single"/>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b/>
      <w:sz w:val="36"/>
      <w:szCs w:val="36"/>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inancial.ualberta.ca/GuideToFinancialManagement.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rs.ualberta.ca/FindYourHRContact.asp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nancial.ualberta.ca/FormsCabine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Brewin, Michelle</dc:creator>
  <cp:lastModifiedBy>eyahn</cp:lastModifiedBy>
  <cp:revision>3</cp:revision>
  <dcterms:created xsi:type="dcterms:W3CDTF">2017-11-09T15:23:00Z</dcterms:created>
  <dcterms:modified xsi:type="dcterms:W3CDTF">2017-11-23T14:47:00Z</dcterms:modified>
</cp:coreProperties>
</file>